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4E8C"/>
          <w:sz w:val="34"/>
        </w:rPr>
        <w:t>AI, Economic Perceptions, and Consumer Sentiment Ahead of the 2026 Midterm Elections</w:t>
      </w:r>
    </w:p>
    <w:p>
      <w:pPr>
        <w:spacing w:after="20"/>
      </w:pPr>
      <w:r>
        <w:rPr>
          <w:b w:val="0"/>
          <w:i w:val="0"/>
          <w:color w:val="4A5260"/>
          <w:sz w:val="19"/>
        </w:rPr>
        <w:t>Final Course Project — AI Applications in Finance · Data cut-off 16 October 2026 (October Michigan reading preliminary)</w:t>
      </w:r>
    </w:p>
    <w:p>
      <w:pPr>
        <w:spacing w:after="160"/>
      </w:pPr>
      <w:r>
        <w:rPr>
          <w:b w:val="0"/>
          <w:i w:val="0"/>
          <w:color w:val="4A5260"/>
          <w:sz w:val="19"/>
        </w:rPr>
        <w:t>Deliverables: this report · reproducible package (README.md) · monitoring dashboard (dashboard/index.html) · summary deck</w:t>
      </w:r>
    </w:p>
    <w:p>
      <w:pPr>
        <w:pStyle w:val="Heading1"/>
      </w:pPr>
      <w:r>
        <w:t>Executive summary</w:t>
      </w:r>
    </w:p>
    <w:p>
      <w:pPr>
        <w:spacing w:after="120"/>
      </w:pPr>
      <w:r>
        <w:rPr>
          <w:b/>
          <w:i w:val="0"/>
        </w:rPr>
        <w:t>Bottom line: media bias does not explain the sentiment gap.</w:t>
      </w:r>
      <w:r>
        <w:rPr>
          <w:b w:val="0"/>
          <w:i w:val="0"/>
        </w:rPr>
        <w:t xml:space="preserve"> We find real, measurable </w:t>
      </w:r>
      <w:r>
        <w:rPr>
          <w:b w:val="0"/>
          <w:i/>
        </w:rPr>
        <w:t>partisan slant</w:t>
      </w:r>
      <w:r>
        <w:rPr>
          <w:b w:val="0"/>
          <w:i w:val="0"/>
        </w:rPr>
        <w:t xml:space="preserve"> in economic coverage, but it cannot account for record-low sentiment: (1) coverage measures add no out-of-sample predictive power once household cost pressures are modelled; (2) across the 2025 presidential transition, aggregate coverage tone barely moved — even under our least favourable filter, the change implies about 0.9 point of sentiment, against an actual fall of 14.5 points; (3) the decline is shared by every age and income group, lines up within each month with reported price and income hardship, and the extra decline of the young is largely explained by the inflation they lived through. The gap is best explained by a </w:t>
      </w:r>
      <w:r>
        <w:rPr>
          <w:b/>
          <w:i w:val="0"/>
        </w:rPr>
        <w:t>price-level grievance</w:t>
      </w:r>
      <w:r>
        <w:rPr>
          <w:b w:val="0"/>
          <w:i w:val="0"/>
        </w:rPr>
        <w:t xml:space="preserve"> that headline data and history-trained models miss, </w:t>
      </w:r>
      <w:r>
        <w:rPr>
          <w:b/>
          <w:i w:val="0"/>
        </w:rPr>
        <w:t>experience effects</w:t>
      </w:r>
      <w:r>
        <w:rPr>
          <w:b w:val="0"/>
          <w:i w:val="0"/>
        </w:rPr>
        <w:t xml:space="preserve">, a </w:t>
      </w:r>
      <w:r>
        <w:rPr>
          <w:b/>
          <w:i w:val="0"/>
        </w:rPr>
        <w:t>survey-mode change</w:t>
      </w:r>
      <w:r>
        <w:rPr>
          <w:b w:val="0"/>
          <w:i w:val="0"/>
        </w:rPr>
        <w:t xml:space="preserve"> and </w:t>
      </w:r>
      <w:r>
        <w:rPr>
          <w:b/>
          <w:i w:val="0"/>
        </w:rPr>
        <w:t>partisan identity</w:t>
      </w:r>
      <w:r>
        <w:rPr>
          <w:b w:val="0"/>
          <w:i w:val="0"/>
        </w:rPr>
        <w:t xml:space="preserve"> — with media as an amplifier of price salience, not the source.</w:t>
      </w:r>
    </w:p>
    <w:p>
      <w:r>
        <w:rPr>
          <w:b w:val="0"/>
          <w:i w:val="0"/>
        </w:rPr>
        <w:t xml:space="preserve">Michigan consumer sentiment averaged </w:t>
      </w:r>
      <w:r>
        <w:rPr>
          <w:b/>
          <w:i w:val="0"/>
        </w:rPr>
        <w:t>51.2</w:t>
      </w:r>
      <w:r>
        <w:rPr>
          <w:b w:val="0"/>
          <w:i w:val="0"/>
        </w:rPr>
        <w:t xml:space="preserve"> in 2026 (October preliminary 46.3; May's 44.8 is the lowest on record), while a real-time model using only U-3 unemployment, headline PCE inflation and real GDP growth predicts about </w:t>
      </w:r>
      <w:r>
        <w:rPr>
          <w:b/>
          <w:i w:val="0"/>
        </w:rPr>
        <w:t>85</w:t>
      </w:r>
      <w:r>
        <w:rPr>
          <w:b w:val="0"/>
          <w:i w:val="0"/>
        </w:rPr>
        <w:t>. The resulting sentiment gap (</w:t>
      </w:r>
      <w:r>
        <w:rPr>
          <w:b/>
          <w:i w:val="0"/>
        </w:rPr>
        <w:t>-33.5</w:t>
      </w:r>
      <w:r>
        <w:rPr>
          <w:b w:val="0"/>
          <w:i w:val="0"/>
        </w:rPr>
        <w:t xml:space="preserve"> points; every 2026 month below the 95% prediction interval) is real under that model — but it is mostly </w:t>
      </w:r>
      <w:r>
        <w:rPr>
          <w:b w:val="0"/>
          <w:i/>
        </w:rPr>
        <w:t>not</w:t>
      </w:r>
      <w:r>
        <w:rPr>
          <w:b w:val="0"/>
          <w:i w:val="0"/>
        </w:rPr>
        <w:t xml:space="preserve"> a mystery once the measurement and the household economy are taken seriously. We decompose the 41-point fall since 2019:</w:t>
      </w:r>
    </w:p>
    <w:tbl>
      <w:tblPr>
        <w:tblStyle w:val="TableGrid"/>
        <w:tblW w:type="auto" w:w="0"/>
        <w:jc w:val="center"/>
        <w:tblLayout w:type="fixed"/>
        <w:tblLook w:firstColumn="1" w:firstRow="1" w:lastColumn="0" w:lastRow="0" w:noHBand="0" w:noVBand="1" w:val="04A0"/>
      </w:tblPr>
      <w:tblGrid>
        <w:gridCol w:w="5616"/>
        <w:gridCol w:w="864"/>
        <w:gridCol w:w="864"/>
        <w:gridCol w:w="2304"/>
      </w:tblGrid>
      <w:tr>
        <w:tc>
          <w:tcPr>
            <w:tcW w:type="dxa" w:w="5616"/>
            <w:shd w:val="clear" w:color="auto" w:fill="E8EDF4"/>
          </w:tcPr>
          <w:p>
            <w:pPr>
              <w:spacing w:after="0"/>
            </w:pPr>
            <w:r/>
            <w:r>
              <w:rPr>
                <w:b/>
                <w:sz w:val="17"/>
              </w:rPr>
              <w:t>Component of the 2019→2025–26 change in ICS</w:t>
            </w:r>
          </w:p>
        </w:tc>
        <w:tc>
          <w:tcPr>
            <w:tcW w:type="dxa" w:w="864"/>
            <w:shd w:val="clear" w:color="auto" w:fill="E8EDF4"/>
          </w:tcPr>
          <w:p>
            <w:pPr>
              <w:spacing w:after="0"/>
            </w:pPr>
            <w:r/>
            <w:r>
              <w:rPr>
                <w:b/>
                <w:sz w:val="17"/>
              </w:rPr>
              <w:t>Points</w:t>
            </w:r>
          </w:p>
        </w:tc>
        <w:tc>
          <w:tcPr>
            <w:tcW w:type="dxa" w:w="864"/>
            <w:shd w:val="clear" w:color="auto" w:fill="E8EDF4"/>
          </w:tcPr>
          <w:p>
            <w:pPr>
              <w:spacing w:after="0"/>
            </w:pPr>
            <w:r/>
            <w:r>
              <w:rPr>
                <w:b/>
                <w:sz w:val="17"/>
              </w:rPr>
              <w:t>Share</w:t>
            </w:r>
          </w:p>
        </w:tc>
        <w:tc>
          <w:tcPr>
            <w:tcW w:type="dxa" w:w="2304"/>
            <w:shd w:val="clear" w:color="auto" w:fill="E8EDF4"/>
          </w:tcPr>
          <w:p>
            <w:pPr>
              <w:spacing w:after="0"/>
            </w:pPr>
            <w:r/>
            <w:r>
              <w:rPr>
                <w:b/>
                <w:sz w:val="17"/>
              </w:rPr>
              <w:t>Status</w:t>
            </w:r>
          </w:p>
        </w:tc>
      </w:tr>
      <w:tr>
        <w:tc>
          <w:tcPr>
            <w:tcW w:type="dxa" w:w="5616"/>
          </w:tcPr>
          <w:p>
            <w:pPr>
              <w:spacing w:after="0"/>
              <w:jc w:val="left"/>
            </w:pPr>
            <w:r/>
            <w:r>
              <w:rPr>
                <w:sz w:val="17"/>
              </w:rPr>
              <w:t>Headline indicators (U-3, PCE, GDP)</w:t>
            </w:r>
          </w:p>
        </w:tc>
        <w:tc>
          <w:tcPr>
            <w:tcW w:type="dxa" w:w="864"/>
          </w:tcPr>
          <w:p>
            <w:pPr>
              <w:spacing w:after="0"/>
              <w:jc w:val="right"/>
            </w:pPr>
            <w:r/>
            <w:r>
              <w:rPr>
                <w:sz w:val="17"/>
              </w:rPr>
              <w:t>-5.2</w:t>
            </w:r>
          </w:p>
        </w:tc>
        <w:tc>
          <w:tcPr>
            <w:tcW w:type="dxa" w:w="864"/>
          </w:tcPr>
          <w:p>
            <w:pPr>
              <w:spacing w:after="0"/>
              <w:jc w:val="right"/>
            </w:pPr>
            <w:r/>
            <w:r>
              <w:rPr>
                <w:sz w:val="17"/>
              </w:rPr>
              <w:t>13%</w:t>
            </w:r>
          </w:p>
        </w:tc>
        <w:tc>
          <w:tcPr>
            <w:tcW w:type="dxa" w:w="2304"/>
          </w:tcPr>
          <w:p>
            <w:pPr>
              <w:spacing w:after="0"/>
              <w:jc w:val="right"/>
            </w:pPr>
            <w:r/>
            <w:r>
              <w:rPr>
                <w:sz w:val="17"/>
              </w:rPr>
              <w:t>FINDING</w:t>
            </w:r>
          </w:p>
        </w:tc>
      </w:tr>
      <w:tr>
        <w:tc>
          <w:tcPr>
            <w:tcW w:type="dxa" w:w="5616"/>
          </w:tcPr>
          <w:p>
            <w:pPr>
              <w:spacing w:after="0"/>
              <w:jc w:val="left"/>
            </w:pPr>
            <w:r/>
            <w:r>
              <w:rPr>
                <w:sz w:val="17"/>
              </w:rPr>
              <w:t>Household pressures not in headline data (cumulative price level, food, U-6, gasoline, real income) and policy uncertainty</w:t>
            </w:r>
          </w:p>
        </w:tc>
        <w:tc>
          <w:tcPr>
            <w:tcW w:type="dxa" w:w="864"/>
          </w:tcPr>
          <w:p>
            <w:pPr>
              <w:spacing w:after="0"/>
              <w:jc w:val="right"/>
            </w:pPr>
            <w:r/>
            <w:r>
              <w:rPr>
                <w:sz w:val="17"/>
              </w:rPr>
              <w:t>-14.7</w:t>
            </w:r>
          </w:p>
        </w:tc>
        <w:tc>
          <w:tcPr>
            <w:tcW w:type="dxa" w:w="864"/>
          </w:tcPr>
          <w:p>
            <w:pPr>
              <w:spacing w:after="0"/>
              <w:jc w:val="right"/>
            </w:pPr>
            <w:r/>
            <w:r>
              <w:rPr>
                <w:sz w:val="17"/>
              </w:rPr>
              <w:t>36%</w:t>
            </w:r>
          </w:p>
        </w:tc>
        <w:tc>
          <w:tcPr>
            <w:tcW w:type="dxa" w:w="2304"/>
          </w:tcPr>
          <w:p>
            <w:pPr>
              <w:spacing w:after="0"/>
              <w:jc w:val="right"/>
            </w:pPr>
            <w:r/>
            <w:r>
              <w:rPr>
                <w:sz w:val="17"/>
              </w:rPr>
              <w:t>FINDING (associational; 2000–2019 coefficients)</w:t>
            </w:r>
          </w:p>
        </w:tc>
      </w:tr>
      <w:tr>
        <w:tc>
          <w:tcPr>
            <w:tcW w:type="dxa" w:w="5616"/>
          </w:tcPr>
          <w:p>
            <w:pPr>
              <w:spacing w:after="0"/>
              <w:jc w:val="left"/>
            </w:pPr>
            <w:r/>
            <w:r>
              <w:rPr>
                <w:sz w:val="17"/>
              </w:rPr>
              <w:t>Survey-mode change (phone→web, 2024; Michigan's own estimate)</w:t>
            </w:r>
          </w:p>
        </w:tc>
        <w:tc>
          <w:tcPr>
            <w:tcW w:type="dxa" w:w="864"/>
          </w:tcPr>
          <w:p>
            <w:pPr>
              <w:spacing w:after="0"/>
              <w:jc w:val="right"/>
            </w:pPr>
            <w:r/>
            <w:r>
              <w:rPr>
                <w:sz w:val="17"/>
              </w:rPr>
              <w:t>-6.6</w:t>
            </w:r>
          </w:p>
        </w:tc>
        <w:tc>
          <w:tcPr>
            <w:tcW w:type="dxa" w:w="864"/>
          </w:tcPr>
          <w:p>
            <w:pPr>
              <w:spacing w:after="0"/>
              <w:jc w:val="right"/>
            </w:pPr>
            <w:r/>
            <w:r>
              <w:rPr>
                <w:sz w:val="17"/>
              </w:rPr>
              <w:t>16%</w:t>
            </w:r>
          </w:p>
        </w:tc>
        <w:tc>
          <w:tcPr>
            <w:tcW w:type="dxa" w:w="2304"/>
          </w:tcPr>
          <w:p>
            <w:pPr>
              <w:spacing w:after="0"/>
              <w:jc w:val="right"/>
            </w:pPr>
            <w:r/>
            <w:r>
              <w:rPr>
                <w:sz w:val="17"/>
              </w:rPr>
              <w:t>FINDING (external estimate)</w:t>
            </w:r>
          </w:p>
        </w:tc>
      </w:tr>
      <w:tr>
        <w:tc>
          <w:tcPr>
            <w:tcW w:type="dxa" w:w="5616"/>
          </w:tcPr>
          <w:p>
            <w:pPr>
              <w:spacing w:after="0"/>
              <w:jc w:val="left"/>
            </w:pPr>
            <w:r/>
            <w:r>
              <w:rPr>
                <w:sz w:val="17"/>
              </w:rPr>
              <w:t>Partisan composition of respondents (illustrative, 5-pp Republican share drop)</w:t>
            </w:r>
          </w:p>
        </w:tc>
        <w:tc>
          <w:tcPr>
            <w:tcW w:type="dxa" w:w="864"/>
          </w:tcPr>
          <w:p>
            <w:pPr>
              <w:spacing w:after="0"/>
              <w:jc w:val="right"/>
            </w:pPr>
            <w:r/>
            <w:r>
              <w:rPr>
                <w:sz w:val="17"/>
              </w:rPr>
              <w:t>-2.4</w:t>
            </w:r>
          </w:p>
        </w:tc>
        <w:tc>
          <w:tcPr>
            <w:tcW w:type="dxa" w:w="864"/>
          </w:tcPr>
          <w:p>
            <w:pPr>
              <w:spacing w:after="0"/>
              <w:jc w:val="right"/>
            </w:pPr>
            <w:r/>
            <w:r>
              <w:rPr>
                <w:sz w:val="17"/>
              </w:rPr>
              <w:t>6%</w:t>
            </w:r>
          </w:p>
        </w:tc>
        <w:tc>
          <w:tcPr>
            <w:tcW w:type="dxa" w:w="2304"/>
          </w:tcPr>
          <w:p>
            <w:pPr>
              <w:spacing w:after="0"/>
              <w:jc w:val="right"/>
            </w:pPr>
            <w:r/>
            <w:r>
              <w:rPr>
                <w:sz w:val="17"/>
              </w:rPr>
              <w:t>HYPOTHESIS (back-of-envelope)</w:t>
            </w:r>
          </w:p>
        </w:tc>
      </w:tr>
      <w:tr>
        <w:tc>
          <w:tcPr>
            <w:tcW w:type="dxa" w:w="5616"/>
          </w:tcPr>
          <w:p>
            <w:pPr>
              <w:spacing w:after="0"/>
              <w:jc w:val="left"/>
            </w:pPr>
            <w:r/>
            <w:r>
              <w:rPr>
                <w:sz w:val="17"/>
              </w:rPr>
              <w:t>Unexplained residual — the space any media/perception story must fill</w:t>
            </w:r>
          </w:p>
        </w:tc>
        <w:tc>
          <w:tcPr>
            <w:tcW w:type="dxa" w:w="864"/>
          </w:tcPr>
          <w:p>
            <w:pPr>
              <w:spacing w:after="0"/>
              <w:jc w:val="right"/>
            </w:pPr>
            <w:r/>
            <w:r>
              <w:rPr>
                <w:sz w:val="17"/>
              </w:rPr>
              <w:t>-12.4</w:t>
            </w:r>
          </w:p>
        </w:tc>
        <w:tc>
          <w:tcPr>
            <w:tcW w:type="dxa" w:w="864"/>
          </w:tcPr>
          <w:p>
            <w:pPr>
              <w:spacing w:after="0"/>
              <w:jc w:val="right"/>
            </w:pPr>
            <w:r/>
            <w:r>
              <w:rPr>
                <w:sz w:val="17"/>
              </w:rPr>
              <w:t>30%</w:t>
            </w:r>
          </w:p>
        </w:tc>
        <w:tc>
          <w:tcPr>
            <w:tcW w:type="dxa" w:w="2304"/>
          </w:tcPr>
          <w:p>
            <w:pPr>
              <w:spacing w:after="0"/>
              <w:jc w:val="right"/>
            </w:pPr>
            <w:r/>
            <w:r>
              <w:rPr>
                <w:sz w:val="17"/>
              </w:rPr>
              <w:t>Residual</w:t>
            </w:r>
          </w:p>
        </w:tc>
      </w:tr>
      <w:tr>
        <w:tc>
          <w:tcPr>
            <w:tcW w:type="dxa" w:w="5616"/>
          </w:tcPr>
          <w:p>
            <w:pPr>
              <w:spacing w:after="0"/>
              <w:jc w:val="left"/>
            </w:pPr>
            <w:r/>
            <w:r>
              <w:rPr>
                <w:sz w:val="17"/>
              </w:rPr>
              <w:t>Actual change, 2019 → 2025–26</w:t>
            </w:r>
          </w:p>
        </w:tc>
        <w:tc>
          <w:tcPr>
            <w:tcW w:type="dxa" w:w="864"/>
          </w:tcPr>
          <w:p>
            <w:pPr>
              <w:spacing w:after="0"/>
              <w:jc w:val="right"/>
            </w:pPr>
            <w:r/>
            <w:r>
              <w:rPr>
                <w:sz w:val="17"/>
              </w:rPr>
              <w:t>-41.3</w:t>
            </w:r>
          </w:p>
        </w:tc>
        <w:tc>
          <w:tcPr>
            <w:tcW w:type="dxa" w:w="864"/>
          </w:tcPr>
          <w:p>
            <w:pPr>
              <w:spacing w:after="0"/>
              <w:jc w:val="right"/>
            </w:pPr>
            <w:r/>
            <w:r>
              <w:rPr>
                <w:sz w:val="17"/>
              </w:rPr>
              <w:t>100%</w:t>
            </w:r>
          </w:p>
        </w:tc>
        <w:tc>
          <w:tcPr>
            <w:tcW w:type="dxa" w:w="2304"/>
          </w:tcPr>
          <w:p>
            <w:pPr>
              <w:spacing w:after="0"/>
              <w:jc w:val="right"/>
            </w:pPr>
            <w:r/>
            <w:r>
              <w:rPr>
                <w:sz w:val="17"/>
              </w:rPr>
            </w:r>
          </w:p>
        </w:tc>
      </w:tr>
    </w:tbl>
    <w:p>
      <w:pPr>
        <w:spacing w:after="40"/>
      </w:pPr>
    </w:p>
    <w:p>
      <w:pPr>
        <w:pStyle w:val="ListBullet"/>
        <w:spacing w:after="40"/>
      </w:pPr>
      <w:r>
        <w:rPr>
          <w:b/>
          <w:i w:val="0"/>
          <w:sz w:val="20"/>
        </w:rPr>
        <w:t>RQ1 — measuring bias.</w:t>
      </w:r>
      <w:r>
        <w:rPr>
          <w:b w:val="0"/>
          <w:i w:val="0"/>
          <w:sz w:val="20"/>
        </w:rPr>
        <w:t xml:space="preserve"> Bias is defined as deviation from a stated benchmark, never as negativity. We built a 2017–2026 corpus of 247,108 items (news headlines from 9,515+ outlets; Hacker News since 2010; Mastodon for the monitoring window), coded six codebook dimensions with pinned open-source AI models (validated on 300 human labels: 70% tone accuracy, κ = 0.45, beating a dictionary, FinBERT and an LLM), and ran four benchmark tests plus factual calibration. </w:t>
      </w:r>
      <w:r>
        <w:rPr>
          <w:b/>
          <w:i w:val="0"/>
          <w:sz w:val="20"/>
        </w:rPr>
        <w:t>The clearest bias is partisan slant:</w:t>
      </w:r>
      <w:r>
        <w:rPr>
          <w:b w:val="0"/>
          <w:i w:val="0"/>
          <w:sz w:val="20"/>
        </w:rPr>
        <w:t xml:space="preserve"> holding each month's facts fixed, right-leaning outlets' economic headlines are 0.43 net-tone points more negative under a Democratic than a Republican president relative to other outlets (p &lt; 0.001, all four coders agree). We find no negativity asymmetry, coverage of falling inflation rises when inflation falls, and numeric claims are not systematically skewed toward bad news.</w:t>
      </w:r>
    </w:p>
    <w:p>
      <w:pPr>
        <w:pStyle w:val="ListBullet"/>
        <w:spacing w:after="40"/>
      </w:pPr>
      <w:r>
        <w:rPr>
          <w:b/>
          <w:i w:val="0"/>
          <w:sz w:val="20"/>
        </w:rPr>
        <w:t>RQ2/RQ5 — impact and prediction.</w:t>
      </w:r>
      <w:r>
        <w:rPr>
          <w:b w:val="0"/>
          <w:i w:val="0"/>
          <w:sz w:val="20"/>
        </w:rPr>
        <w:t xml:space="preserve"> Corpus-based coverage measures do </w:t>
      </w:r>
      <w:r>
        <w:rPr>
          <w:b/>
          <w:i w:val="0"/>
          <w:sz w:val="20"/>
        </w:rPr>
        <w:t>not</w:t>
      </w:r>
      <w:r>
        <w:rPr>
          <w:b w:val="0"/>
          <w:i w:val="0"/>
          <w:sz w:val="20"/>
        </w:rPr>
        <w:t xml:space="preserve"> reliably improve out-of-sample prediction once economic indicators are included: the nested Clark–West test is marginal (p = 0.03) but realised RMSE gets worse (8.7 → 10.9), whereas household-pressure controls cut it to 6.6; Michigan's own bad-news </w:t>
      </w:r>
      <w:r>
        <w:rPr>
          <w:b w:val="0"/>
          <w:i/>
          <w:sz w:val="20"/>
        </w:rPr>
        <w:t>recall</w:t>
      </w:r>
      <w:r>
        <w:rPr>
          <w:b w:val="0"/>
          <w:i w:val="0"/>
          <w:sz w:val="20"/>
        </w:rPr>
        <w:t xml:space="preserve"> predicts strongly (RMSE 13.2→9.6) but Granger-causality runs both ways (p&lt;0.001 each), so recall is a symptom as much as a cause. No design here identifies a causal effect of media bias on the national index.</w:t>
      </w:r>
    </w:p>
    <w:p>
      <w:pPr>
        <w:pStyle w:val="ListBullet"/>
        <w:spacing w:after="40"/>
      </w:pPr>
      <w:r>
        <w:rPr>
          <w:b/>
          <w:i w:val="0"/>
          <w:sz w:val="20"/>
        </w:rPr>
        <w:t>RQ3.</w:t>
      </w:r>
      <w:r>
        <w:rPr>
          <w:b w:val="0"/>
          <w:i w:val="0"/>
          <w:sz w:val="20"/>
        </w:rPr>
        <w:t xml:space="preserve"> U-3, inflation and GDP explain ~13% of the 2019→2025–26 fall; household pressures (price level, food, U-6, policy uncertainty) raise this to roughly half; the web-mode change adds ~16%.</w:t>
      </w:r>
    </w:p>
    <w:p>
      <w:pPr>
        <w:pStyle w:val="ListBullet"/>
        <w:spacing w:after="40"/>
      </w:pPr>
      <w:r>
        <w:rPr>
          <w:b/>
          <w:i w:val="0"/>
          <w:sz w:val="20"/>
        </w:rPr>
        <w:t>RQ4.</w:t>
      </w:r>
      <w:r>
        <w:rPr>
          <w:b w:val="0"/>
          <w:i w:val="0"/>
          <w:sz w:val="20"/>
        </w:rPr>
        <w:t xml:space="preserve"> Measurable: supply-side negativity and framing, price-level anchoring (proxy) and </w:t>
      </w:r>
      <w:r>
        <w:rPr>
          <w:b/>
          <w:i w:val="0"/>
          <w:sz w:val="20"/>
        </w:rPr>
        <w:t>experience effects</w:t>
      </w:r>
      <w:r>
        <w:rPr>
          <w:b w:val="0"/>
          <w:i w:val="0"/>
          <w:sz w:val="20"/>
        </w:rPr>
        <w:t xml:space="preserve"> — groups that lived through more inflation expect more and feel worse within the same month, explaining ~78% of why the young fell further. Not measurable: confirmation or availability bias in readers (no exposure data).</w:t>
      </w:r>
    </w:p>
    <w:p>
      <w:pPr>
        <w:pStyle w:val="ListBullet"/>
        <w:spacing w:after="40"/>
      </w:pPr>
      <w:r>
        <w:rPr>
          <w:b/>
          <w:i w:val="0"/>
          <w:sz w:val="20"/>
        </w:rPr>
        <w:t>Fresh test — the 2025 transition as a natural experiment.</w:t>
      </w:r>
      <w:r>
        <w:rPr>
          <w:b w:val="0"/>
          <w:i w:val="0"/>
          <w:sz w:val="20"/>
        </w:rPr>
        <w:t xml:space="preserve"> Outlet slant flips with the party in power (right-leaning outlets turned markedly more positive after January 2025, as they had under Trump-1), but aggregate coverage tone barely changed: even under our least favourable filter it implies under 1 point of sentiment, against a 14.5-point fall. Whether individual partisan audiences track their outlets is filter-sensitive and we say so (Section 6.1).</w:t>
      </w:r>
    </w:p>
    <w:p>
      <w:pPr>
        <w:pStyle w:val="ListBullet"/>
        <w:spacing w:after="40"/>
      </w:pPr>
      <w:r>
        <w:rPr>
          <w:b/>
          <w:i w:val="0"/>
          <w:sz w:val="20"/>
        </w:rPr>
        <w:t>RQ6.</w:t>
      </w:r>
      <w:r>
        <w:rPr>
          <w:b w:val="0"/>
          <w:i w:val="0"/>
          <w:sz w:val="20"/>
        </w:rPr>
        <w:t xml:space="preserve"> Pre-specified falsification tests (Section 8) mostly point away from a media-supply explanation: coverage negativity is not excessive relative to fundamentals; sentiment and recall feed back on each other; and the decline is visible in every group alongside large, measurable cost-of-living pressures.</w:t>
      </w:r>
    </w:p>
    <w:p>
      <w:pPr>
        <w:pStyle w:val="ListBullet"/>
        <w:spacing w:after="40"/>
      </w:pPr>
      <w:r>
        <w:rPr>
          <w:b/>
          <w:i w:val="0"/>
          <w:sz w:val="20"/>
        </w:rPr>
        <w:t>Implication.</w:t>
      </w:r>
      <w:r>
        <w:rPr>
          <w:b w:val="0"/>
          <w:i w:val="0"/>
          <w:sz w:val="20"/>
        </w:rPr>
        <w:t xml:space="preserve"> For spending forecasts in 2022–26, the fundamentals-consistent part of sentiment helped and the gap component </w:t>
      </w:r>
      <w:r>
        <w:rPr>
          <w:b w:val="0"/>
          <w:i/>
          <w:sz w:val="20"/>
        </w:rPr>
        <w:t>hurt</w:t>
      </w:r>
      <w:r>
        <w:rPr>
          <w:b w:val="0"/>
          <w:i w:val="0"/>
          <w:sz w:val="20"/>
        </w:rPr>
        <w:t>: forecasters and risk managers should decompose sentiment rather than read headline gloom as a recession signal (Section 10).</w:t>
      </w:r>
    </w:p>
    <w:p>
      <w:pPr>
        <w:pStyle w:val="Heading1"/>
      </w:pPr>
      <w:r>
        <w:t>1. Question, competing explanations, and approach</w:t>
      </w:r>
    </w:p>
    <w:p>
      <w:pPr>
        <w:jc w:val="both"/>
      </w:pPr>
      <w:r>
        <w:rPr>
          <w:b w:val="0"/>
          <w:i w:val="0"/>
        </w:rPr>
        <w:t xml:space="preserve">The brief asks us to distinguish three explanations for low sentiment relative to measured conditions: (E1) consumers respond to pressures that headline indicators miss; (E2) perceptions reflect selective information, framing or cognitive bias; (E3) the discrepancy is an artefact of measurement, timing or an incomplete model. We treat each as a hypothesis with an explicit way to fail (Section 8). Two design rules run throughout: (i) every regressor is the value </w:t>
      </w:r>
      <w:r>
        <w:rPr>
          <w:b/>
          <w:i w:val="0"/>
        </w:rPr>
        <w:t>public at the survey date</w:t>
      </w:r>
      <w:r>
        <w:rPr>
          <w:b w:val="0"/>
          <w:i w:val="0"/>
        </w:rPr>
        <w:t xml:space="preserve"> (real-time vintages, publication lags, shutdown overrides), and (ii) text measures describe the </w:t>
      </w:r>
      <w:r>
        <w:rPr>
          <w:b/>
          <w:i w:val="0"/>
        </w:rPr>
        <w:t>supply</w:t>
      </w:r>
      <w:r>
        <w:rPr>
          <w:b w:val="0"/>
          <w:i w:val="0"/>
        </w:rPr>
        <w:t xml:space="preserve"> of content; they are never treated as proof of readers' cognitive bias.</w:t>
      </w:r>
    </w:p>
    <w:p>
      <w:pPr>
        <w:jc w:val="both"/>
      </w:pPr>
      <w:r>
        <w:rPr>
          <w:b/>
          <w:i w:val="0"/>
        </w:rPr>
        <w:t>On the original hypothesis (age-group hardships drive the decline).</w:t>
      </w:r>
      <w:r>
        <w:rPr>
          <w:b w:val="0"/>
          <w:i w:val="0"/>
        </w:rPr>
        <w:t xml:space="preserve"> It is a good instinct and we test it formally (Section 4), but it needs two corrections. First, 'which group has the most impact' must be measured as weight × change, not as which group is gloomiest. Second, group hardship is evidence for E1 only if it explains differences </w:t>
      </w:r>
      <w:r>
        <w:rPr>
          <w:b w:val="0"/>
          <w:i/>
        </w:rPr>
        <w:t>within</w:t>
      </w:r>
      <w:r>
        <w:rPr>
          <w:b w:val="0"/>
          <w:i w:val="0"/>
        </w:rPr>
        <w:t xml:space="preserve"> a month, after national news and macro data are held fixed; otherwise 'other factors correlated with sentiment' cannot be separated from common shocks. The age analysis is therefore one component of the answer — it does not by itself address media bias (RQ1, 2, 5, 6), which the brief weights most heavily.</w:t>
      </w:r>
    </w:p>
    <w:p>
      <w:pPr>
        <w:pStyle w:val="Heading1"/>
      </w:pPr>
      <w:r>
        <w:t>2. Economic and survey baseline</w:t>
      </w:r>
    </w:p>
    <w:p>
      <w:pPr>
        <w:jc w:val="both"/>
      </w:pPr>
      <w:r>
        <w:rPr>
          <w:b/>
          <w:i w:val="0"/>
        </w:rPr>
        <w:t>Data.</w:t>
      </w:r>
      <w:r>
        <w:rPr>
          <w:b w:val="0"/>
          <w:i w:val="0"/>
        </w:rPr>
        <w:t xml:space="preserve"> Monthly 1978–2026 (analysis window 2010–2026; monitoring window 2025–October 2026). Michigan ICS with Current (ICC) and Expectations (ICE) indices, age/income/region sub-indices and the qualitative 'reasons' and 'news heard' tables; BLS U-3 (SA); BEA headline PCE price index (YoY = 100×(P_t/P_t−12 − 1)); real GDP from the Philadelphia Fed real-time data set (monthly vintages), reported both as q/q SAAR and y/y. Controls: U-6, food-at-home and shelter CPI, real gasoline, real disposable income per capita, saving rate, interest burden, 30-year mortgage rate, an affordability index, cumulative 3-year inflation, and news-based policy uncertainty. Sources, vintages and URLs are in docs/DATA_PROVENANCE.md.</w:t>
      </w:r>
    </w:p>
    <w:p>
      <w:pPr>
        <w:jc w:val="both"/>
      </w:pPr>
      <w:r>
        <w:rPr>
          <w:b/>
          <w:i w:val="0"/>
        </w:rPr>
        <w:t>Timing.</w:t>
      </w:r>
      <w:r>
        <w:rPr>
          <w:b w:val="0"/>
          <w:i w:val="0"/>
        </w:rPr>
        <w:t xml:space="preserve"> Michigan interviews run from late month t−1 to about the 20th of month t, so the information set is what was public by mid-month t: U-3 for t−1, PCE for t−2, and the latest GDP quarter </w:t>
      </w:r>
      <w:r>
        <w:rPr>
          <w:b w:val="0"/>
          <w:i/>
        </w:rPr>
        <w:t>in the vintage dated t</w:t>
      </w:r>
      <w:r>
        <w:rPr>
          <w:b w:val="0"/>
          <w:i w:val="0"/>
        </w:rPr>
        <w:t xml:space="preserve"> (first or then-current estimate, never today's revised figure; quarterly GDP is never interpolated). The October-2025 household survey was not conducted and the Sept–Nov 2025 BLS/BEA releases were delayed by the shutdown; explicit overrides assign the data actually available.</w:t>
      </w:r>
    </w:p>
    <w:p>
      <w:pPr>
        <w:jc w:val="both"/>
      </w:pPr>
      <w:r>
        <w:rPr>
          <w:b/>
          <w:i w:val="0"/>
        </w:rPr>
        <w:t>Data-integrity findings (all documented and handled).</w:t>
      </w:r>
      <w:r>
        <w:rPr>
          <w:b w:val="0"/>
          <w:i w:val="0"/>
        </w:rPr>
        <w:t xml:space="preserve"> (1) The supplied 'PCE YoY' column is </w:t>
      </w:r>
      <w:r>
        <w:rPr>
          <w:b/>
          <w:i w:val="0"/>
        </w:rPr>
        <w:t>core</w:t>
      </w:r>
      <w:r>
        <w:rPr>
          <w:b w:val="0"/>
          <w:i w:val="0"/>
        </w:rPr>
        <w:t xml:space="preserve"> PCE — it matches BEA's DPCCRG to 0.00001 over 584 months but differs from headline by up to 2.25 pp; we use headline as required and core as a robustness check. (2) The supplied GDP column includes </w:t>
      </w:r>
      <w:r>
        <w:rPr>
          <w:b/>
          <w:i w:val="0"/>
        </w:rPr>
        <w:t>2026Q3 = 3.7%</w:t>
      </w:r>
      <w:r>
        <w:rPr>
          <w:b w:val="0"/>
          <w:i w:val="0"/>
        </w:rPr>
        <w:t>, which BEA had not published by the cut-off (advance estimate due late October); using it would be look-ahead, so it is excluded. (3) Supplied GDP is a current vintage (up to 9 pp from first releases in 2020). (4) Michigan's demographic tables are 3-month moving averages (verified), so monthly sub-indices come from the archive file. (5) Michigan moved from phone to web interviewing in April–July 2024; Michigan estimates a −6.6-point level effect (an outside estimate is −8.9).</w:t>
      </w:r>
    </w:p>
    <w:p>
      <w:pPr>
        <w:jc w:val="both"/>
      </w:pPr>
      <w:r>
        <w:rPr>
          <w:b/>
          <w:i w:val="0"/>
        </w:rPr>
        <w:t>Economic-only model (M1).</w:t>
      </w:r>
      <w:r>
        <w:rPr>
          <w:b w:val="0"/>
          <w:i w:val="0"/>
        </w:rPr>
        <w:t xml:space="preserve"> ICS_t = α + β₁U3 + β₂PCE + β₃GDP + ε, chosen by BIC on pre-2000 data among q/q-SAAR and y/y GDP variants (y/y wins; adding Δ12 U-3 does not help). Estimated 1978–2019: U-3 -2.67 (HAC t -3.0), PCE -1.95 (t -4.1), GDP 2.54 (t 4.6), R² 0.56. The </w:t>
      </w:r>
      <w:r>
        <w:rPr>
          <w:b/>
          <w:i w:val="0"/>
        </w:rPr>
        <w:t>sentiment gap</w:t>
      </w:r>
      <w:r>
        <w:rPr>
          <w:b w:val="0"/>
          <w:i w:val="0"/>
        </w:rPr>
        <w:t xml:space="preserve"> is the actual value minus the </w:t>
      </w:r>
      <w:r>
        <w:rPr>
          <w:b w:val="0"/>
          <w:i/>
        </w:rPr>
        <w:t>out-of-sample</w:t>
      </w:r>
      <w:r>
        <w:rPr>
          <w:b w:val="0"/>
          <w:i w:val="0"/>
        </w:rPr>
        <w:t xml:space="preserve"> prediction from an expanding window: each month is predicted from a model fit only on earlier months, with an OLS prediction interval (80% and 95%).</w:t>
      </w:r>
    </w:p>
    <w:p>
      <w:pPr>
        <w:jc w:val="center"/>
      </w:pPr>
      <w:r>
        <w:drawing>
          <wp:inline xmlns:a="http://schemas.openxmlformats.org/drawingml/2006/main" xmlns:pic="http://schemas.openxmlformats.org/drawingml/2006/picture">
            <wp:extent cx="5029200" cy="3464560"/>
            <wp:docPr id="1" name="Picture 1"/>
            <wp:cNvGraphicFramePr>
              <a:graphicFrameLocks noChangeAspect="1"/>
            </wp:cNvGraphicFramePr>
            <a:graphic>
              <a:graphicData uri="http://schemas.openxmlformats.org/drawingml/2006/picture">
                <pic:pic>
                  <pic:nvPicPr>
                    <pic:cNvPr id="0" name="fig_gap_main.png"/>
                    <pic:cNvPicPr/>
                  </pic:nvPicPr>
                  <pic:blipFill>
                    <a:blip r:embed="rId10"/>
                    <a:stretch>
                      <a:fillRect/>
                    </a:stretch>
                  </pic:blipFill>
                  <pic:spPr>
                    <a:xfrm>
                      <a:off x="0" y="0"/>
                      <a:ext cx="5029200" cy="3464560"/>
                    </a:xfrm>
                    <a:prstGeom prst="rect"/>
                  </pic:spPr>
                </pic:pic>
              </a:graphicData>
            </a:graphic>
          </wp:inline>
        </w:drawing>
      </w:r>
    </w:p>
    <w:p>
      <w:pPr>
        <w:spacing w:after="120"/>
      </w:pPr>
      <w:r>
        <w:rPr>
          <w:b w:val="0"/>
          <w:i/>
          <w:color w:val="4A5260"/>
          <w:sz w:val="17"/>
        </w:rPr>
        <w:t>Figure 1. Michigan ICS vs. real-time, out-of-sample predictions with 95% prediction interval (top) and the monthly sentiment gap (bottom). The dashed line adds household-pressure and policy-uncertainty controls (M1H2). Black line in the lower panel adds back Michigan's 6.6-point web-mode effect.</w:t>
      </w:r>
    </w:p>
    <w:p>
      <w:pPr>
        <w:spacing w:after="40"/>
      </w:pPr>
      <w:r>
        <w:rPr>
          <w:b/>
          <w:i w:val="0"/>
          <w:sz w:val="19"/>
        </w:rPr>
        <w:t>Table 1. Real-time out-of-sample sentiment gap by period (M1: U-3 + headline PCE + GDP y/y).</w:t>
      </w:r>
    </w:p>
    <w:tbl>
      <w:tblPr>
        <w:tblStyle w:val="TableGrid"/>
        <w:tblW w:type="auto" w:w="0"/>
        <w:jc w:val="center"/>
        <w:tblLayout w:type="fixed"/>
        <w:tblLook w:firstColumn="1" w:firstRow="1" w:lastColumn="0" w:lastRow="0" w:noHBand="0" w:noVBand="1" w:val="04A0"/>
      </w:tblPr>
      <w:tblGrid>
        <w:gridCol w:w="3377"/>
        <w:gridCol w:w="784"/>
        <w:gridCol w:w="784"/>
        <w:gridCol w:w="784"/>
        <w:gridCol w:w="784"/>
        <w:gridCol w:w="784"/>
        <w:gridCol w:w="784"/>
        <w:gridCol w:w="784"/>
        <w:gridCol w:w="784"/>
      </w:tblGrid>
      <w:tr>
        <w:tc>
          <w:tcPr>
            <w:tcW w:type="dxa" w:w="3377"/>
            <w:shd w:val="clear" w:color="auto" w:fill="E8EDF4"/>
          </w:tcPr>
          <w:p>
            <w:pPr>
              <w:spacing w:after="0"/>
            </w:pPr>
            <w:r/>
            <w:r>
              <w:rPr>
                <w:b/>
                <w:sz w:val="16"/>
              </w:rPr>
              <w:t>Period</w:t>
            </w:r>
          </w:p>
        </w:tc>
        <w:tc>
          <w:tcPr>
            <w:tcW w:type="dxa" w:w="784"/>
            <w:shd w:val="clear" w:color="auto" w:fill="E8EDF4"/>
          </w:tcPr>
          <w:p>
            <w:pPr>
              <w:spacing w:after="0"/>
            </w:pPr>
            <w:r/>
            <w:r>
              <w:rPr>
                <w:b/>
                <w:sz w:val="16"/>
              </w:rPr>
              <w:t>N</w:t>
            </w:r>
          </w:p>
        </w:tc>
        <w:tc>
          <w:tcPr>
            <w:tcW w:type="dxa" w:w="784"/>
            <w:shd w:val="clear" w:color="auto" w:fill="E8EDF4"/>
          </w:tcPr>
          <w:p>
            <w:pPr>
              <w:spacing w:after="0"/>
            </w:pPr>
            <w:r/>
            <w:r>
              <w:rPr>
                <w:b/>
                <w:sz w:val="16"/>
              </w:rPr>
              <w:t>Actual</w:t>
            </w:r>
          </w:p>
        </w:tc>
        <w:tc>
          <w:tcPr>
            <w:tcW w:type="dxa" w:w="784"/>
            <w:shd w:val="clear" w:color="auto" w:fill="E8EDF4"/>
          </w:tcPr>
          <w:p>
            <w:pPr>
              <w:spacing w:after="0"/>
            </w:pPr>
            <w:r/>
            <w:r>
              <w:rPr>
                <w:b/>
                <w:sz w:val="16"/>
              </w:rPr>
              <w:t>Predicted</w:t>
            </w:r>
          </w:p>
        </w:tc>
        <w:tc>
          <w:tcPr>
            <w:tcW w:type="dxa" w:w="784"/>
            <w:shd w:val="clear" w:color="auto" w:fill="E8EDF4"/>
          </w:tcPr>
          <w:p>
            <w:pPr>
              <w:spacing w:after="0"/>
            </w:pPr>
            <w:r/>
            <w:r>
              <w:rPr>
                <w:b/>
                <w:sz w:val="16"/>
              </w:rPr>
              <w:t>Gap</w:t>
            </w:r>
          </w:p>
        </w:tc>
        <w:tc>
          <w:tcPr>
            <w:tcW w:type="dxa" w:w="784"/>
            <w:shd w:val="clear" w:color="auto" w:fill="E8EDF4"/>
          </w:tcPr>
          <w:p>
            <w:pPr>
              <w:spacing w:after="0"/>
            </w:pPr>
            <w:r/>
            <w:r>
              <w:rPr>
                <w:b/>
                <w:sz w:val="16"/>
              </w:rPr>
              <w:t>Gap (mode-adj.)</w:t>
            </w:r>
          </w:p>
        </w:tc>
        <w:tc>
          <w:tcPr>
            <w:tcW w:type="dxa" w:w="784"/>
            <w:shd w:val="clear" w:color="auto" w:fill="E8EDF4"/>
          </w:tcPr>
          <w:p>
            <w:pPr>
              <w:spacing w:after="0"/>
            </w:pPr>
            <w:r/>
            <w:r>
              <w:rPr>
                <w:b/>
                <w:sz w:val="16"/>
              </w:rPr>
              <w:t>Share &lt; 95% PI</w:t>
            </w:r>
          </w:p>
        </w:tc>
        <w:tc>
          <w:tcPr>
            <w:tcW w:type="dxa" w:w="784"/>
            <w:shd w:val="clear" w:color="auto" w:fill="E8EDF4"/>
          </w:tcPr>
          <w:p>
            <w:pPr>
              <w:spacing w:after="0"/>
            </w:pPr>
            <w:r/>
            <w:r>
              <w:rPr>
                <w:b/>
                <w:sz w:val="16"/>
              </w:rPr>
              <w:t>ICC gap</w:t>
            </w:r>
          </w:p>
        </w:tc>
        <w:tc>
          <w:tcPr>
            <w:tcW w:type="dxa" w:w="784"/>
            <w:shd w:val="clear" w:color="auto" w:fill="E8EDF4"/>
          </w:tcPr>
          <w:p>
            <w:pPr>
              <w:spacing w:after="0"/>
            </w:pPr>
            <w:r/>
            <w:r>
              <w:rPr>
                <w:b/>
                <w:sz w:val="16"/>
              </w:rPr>
              <w:t>ICE gap</w:t>
            </w:r>
          </w:p>
        </w:tc>
      </w:tr>
      <w:tr>
        <w:tc>
          <w:tcPr>
            <w:tcW w:type="dxa" w:w="3377"/>
          </w:tcPr>
          <w:p>
            <w:pPr>
              <w:spacing w:after="0"/>
              <w:jc w:val="left"/>
            </w:pPr>
            <w:r/>
            <w:r>
              <w:rPr>
                <w:sz w:val="16"/>
              </w:rPr>
              <w:t>1990–2007</w:t>
            </w:r>
          </w:p>
        </w:tc>
        <w:tc>
          <w:tcPr>
            <w:tcW w:type="dxa" w:w="784"/>
          </w:tcPr>
          <w:p>
            <w:pPr>
              <w:spacing w:after="0"/>
              <w:jc w:val="right"/>
            </w:pPr>
            <w:r/>
            <w:r>
              <w:rPr>
                <w:sz w:val="16"/>
              </w:rPr>
              <w:t>216</w:t>
            </w:r>
          </w:p>
        </w:tc>
        <w:tc>
          <w:tcPr>
            <w:tcW w:type="dxa" w:w="784"/>
          </w:tcPr>
          <w:p>
            <w:pPr>
              <w:spacing w:after="0"/>
              <w:jc w:val="right"/>
            </w:pPr>
            <w:r/>
            <w:r>
              <w:rPr>
                <w:sz w:val="16"/>
              </w:rPr>
              <w:t>91.2</w:t>
            </w:r>
          </w:p>
        </w:tc>
        <w:tc>
          <w:tcPr>
            <w:tcW w:type="dxa" w:w="784"/>
          </w:tcPr>
          <w:p>
            <w:pPr>
              <w:spacing w:after="0"/>
              <w:jc w:val="right"/>
            </w:pPr>
            <w:r/>
            <w:r>
              <w:rPr>
                <w:sz w:val="16"/>
              </w:rPr>
              <w:t>93.3</w:t>
            </w:r>
          </w:p>
        </w:tc>
        <w:tc>
          <w:tcPr>
            <w:tcW w:type="dxa" w:w="784"/>
          </w:tcPr>
          <w:p>
            <w:pPr>
              <w:spacing w:after="0"/>
              <w:jc w:val="right"/>
            </w:pPr>
            <w:r/>
            <w:r>
              <w:rPr>
                <w:sz w:val="16"/>
              </w:rPr>
              <w:t>-2.1</w:t>
            </w:r>
          </w:p>
        </w:tc>
        <w:tc>
          <w:tcPr>
            <w:tcW w:type="dxa" w:w="784"/>
          </w:tcPr>
          <w:p>
            <w:pPr>
              <w:spacing w:after="0"/>
              <w:jc w:val="right"/>
            </w:pPr>
            <w:r/>
            <w:r>
              <w:rPr>
                <w:sz w:val="16"/>
              </w:rPr>
              <w:t>-2.1</w:t>
            </w:r>
          </w:p>
        </w:tc>
        <w:tc>
          <w:tcPr>
            <w:tcW w:type="dxa" w:w="784"/>
          </w:tcPr>
          <w:p>
            <w:pPr>
              <w:spacing w:after="0"/>
              <w:jc w:val="right"/>
            </w:pPr>
            <w:r/>
            <w:r>
              <w:rPr>
                <w:sz w:val="16"/>
              </w:rPr>
              <w:t>8%</w:t>
            </w:r>
          </w:p>
        </w:tc>
        <w:tc>
          <w:tcPr>
            <w:tcW w:type="dxa" w:w="784"/>
          </w:tcPr>
          <w:p>
            <w:pPr>
              <w:spacing w:after="0"/>
              <w:jc w:val="right"/>
            </w:pPr>
            <w:r/>
            <w:r>
              <w:rPr>
                <w:sz w:val="16"/>
              </w:rPr>
              <w:t>-3.2</w:t>
            </w:r>
          </w:p>
        </w:tc>
        <w:tc>
          <w:tcPr>
            <w:tcW w:type="dxa" w:w="784"/>
          </w:tcPr>
          <w:p>
            <w:pPr>
              <w:spacing w:after="0"/>
              <w:jc w:val="right"/>
            </w:pPr>
            <w:r/>
            <w:r>
              <w:rPr>
                <w:sz w:val="16"/>
              </w:rPr>
              <w:t>-1.4</w:t>
            </w:r>
          </w:p>
        </w:tc>
      </w:tr>
      <w:tr>
        <w:tc>
          <w:tcPr>
            <w:tcW w:type="dxa" w:w="3377"/>
          </w:tcPr>
          <w:p>
            <w:pPr>
              <w:spacing w:after="0"/>
              <w:jc w:val="left"/>
            </w:pPr>
            <w:r/>
            <w:r>
              <w:rPr>
                <w:sz w:val="16"/>
              </w:rPr>
              <w:t>2008–2009 GFC</w:t>
            </w:r>
          </w:p>
        </w:tc>
        <w:tc>
          <w:tcPr>
            <w:tcW w:type="dxa" w:w="784"/>
          </w:tcPr>
          <w:p>
            <w:pPr>
              <w:spacing w:after="0"/>
              <w:jc w:val="right"/>
            </w:pPr>
            <w:r/>
            <w:r>
              <w:rPr>
                <w:sz w:val="16"/>
              </w:rPr>
              <w:t>24</w:t>
            </w:r>
          </w:p>
        </w:tc>
        <w:tc>
          <w:tcPr>
            <w:tcW w:type="dxa" w:w="784"/>
          </w:tcPr>
          <w:p>
            <w:pPr>
              <w:spacing w:after="0"/>
              <w:jc w:val="right"/>
            </w:pPr>
            <w:r/>
            <w:r>
              <w:rPr>
                <w:sz w:val="16"/>
              </w:rPr>
              <w:t>65.0</w:t>
            </w:r>
          </w:p>
        </w:tc>
        <w:tc>
          <w:tcPr>
            <w:tcW w:type="dxa" w:w="784"/>
          </w:tcPr>
          <w:p>
            <w:pPr>
              <w:spacing w:after="0"/>
              <w:jc w:val="right"/>
            </w:pPr>
            <w:r/>
            <w:r>
              <w:rPr>
                <w:sz w:val="16"/>
              </w:rPr>
              <w:t>83.8</w:t>
            </w:r>
          </w:p>
        </w:tc>
        <w:tc>
          <w:tcPr>
            <w:tcW w:type="dxa" w:w="784"/>
          </w:tcPr>
          <w:p>
            <w:pPr>
              <w:spacing w:after="0"/>
              <w:jc w:val="right"/>
            </w:pPr>
            <w:r/>
            <w:r>
              <w:rPr>
                <w:sz w:val="16"/>
              </w:rPr>
              <w:t>-18.8</w:t>
            </w:r>
          </w:p>
        </w:tc>
        <w:tc>
          <w:tcPr>
            <w:tcW w:type="dxa" w:w="784"/>
          </w:tcPr>
          <w:p>
            <w:pPr>
              <w:spacing w:after="0"/>
              <w:jc w:val="right"/>
            </w:pPr>
            <w:r/>
            <w:r>
              <w:rPr>
                <w:sz w:val="16"/>
              </w:rPr>
              <w:t>-18.8</w:t>
            </w:r>
          </w:p>
        </w:tc>
        <w:tc>
          <w:tcPr>
            <w:tcW w:type="dxa" w:w="784"/>
          </w:tcPr>
          <w:p>
            <w:pPr>
              <w:spacing w:after="0"/>
              <w:jc w:val="right"/>
            </w:pPr>
            <w:r/>
            <w:r>
              <w:rPr>
                <w:sz w:val="16"/>
              </w:rPr>
              <w:t>58%</w:t>
            </w:r>
          </w:p>
        </w:tc>
        <w:tc>
          <w:tcPr>
            <w:tcW w:type="dxa" w:w="784"/>
          </w:tcPr>
          <w:p>
            <w:pPr>
              <w:spacing w:after="0"/>
              <w:jc w:val="right"/>
            </w:pPr>
            <w:r/>
            <w:r>
              <w:rPr>
                <w:sz w:val="16"/>
              </w:rPr>
              <w:t>-21.0</w:t>
            </w:r>
          </w:p>
        </w:tc>
        <w:tc>
          <w:tcPr>
            <w:tcW w:type="dxa" w:w="784"/>
          </w:tcPr>
          <w:p>
            <w:pPr>
              <w:spacing w:after="0"/>
              <w:jc w:val="right"/>
            </w:pPr>
            <w:r/>
            <w:r>
              <w:rPr>
                <w:sz w:val="16"/>
              </w:rPr>
              <w:t>-17.5</w:t>
            </w:r>
          </w:p>
        </w:tc>
      </w:tr>
      <w:tr>
        <w:tc>
          <w:tcPr>
            <w:tcW w:type="dxa" w:w="3377"/>
          </w:tcPr>
          <w:p>
            <w:pPr>
              <w:spacing w:after="0"/>
              <w:jc w:val="left"/>
            </w:pPr>
            <w:r/>
            <w:r>
              <w:rPr>
                <w:sz w:val="16"/>
              </w:rPr>
              <w:t>2010–2019</w:t>
            </w:r>
          </w:p>
        </w:tc>
        <w:tc>
          <w:tcPr>
            <w:tcW w:type="dxa" w:w="784"/>
          </w:tcPr>
          <w:p>
            <w:pPr>
              <w:spacing w:after="0"/>
              <w:jc w:val="right"/>
            </w:pPr>
            <w:r/>
            <w:r>
              <w:rPr>
                <w:sz w:val="16"/>
              </w:rPr>
              <w:t>120</w:t>
            </w:r>
          </w:p>
        </w:tc>
        <w:tc>
          <w:tcPr>
            <w:tcW w:type="dxa" w:w="784"/>
          </w:tcPr>
          <w:p>
            <w:pPr>
              <w:spacing w:after="0"/>
              <w:jc w:val="right"/>
            </w:pPr>
            <w:r/>
            <w:r>
              <w:rPr>
                <w:sz w:val="16"/>
              </w:rPr>
              <w:t>85.5</w:t>
            </w:r>
          </w:p>
        </w:tc>
        <w:tc>
          <w:tcPr>
            <w:tcW w:type="dxa" w:w="784"/>
          </w:tcPr>
          <w:p>
            <w:pPr>
              <w:spacing w:after="0"/>
              <w:jc w:val="right"/>
            </w:pPr>
            <w:r/>
            <w:r>
              <w:rPr>
                <w:sz w:val="16"/>
              </w:rPr>
              <w:t>89.0</w:t>
            </w:r>
          </w:p>
        </w:tc>
        <w:tc>
          <w:tcPr>
            <w:tcW w:type="dxa" w:w="784"/>
          </w:tcPr>
          <w:p>
            <w:pPr>
              <w:spacing w:after="0"/>
              <w:jc w:val="right"/>
            </w:pPr>
            <w:r/>
            <w:r>
              <w:rPr>
                <w:sz w:val="16"/>
              </w:rPr>
              <w:t>-3.5</w:t>
            </w:r>
          </w:p>
        </w:tc>
        <w:tc>
          <w:tcPr>
            <w:tcW w:type="dxa" w:w="784"/>
          </w:tcPr>
          <w:p>
            <w:pPr>
              <w:spacing w:after="0"/>
              <w:jc w:val="right"/>
            </w:pPr>
            <w:r/>
            <w:r>
              <w:rPr>
                <w:sz w:val="16"/>
              </w:rPr>
              <w:t>-3.5</w:t>
            </w:r>
          </w:p>
        </w:tc>
        <w:tc>
          <w:tcPr>
            <w:tcW w:type="dxa" w:w="784"/>
          </w:tcPr>
          <w:p>
            <w:pPr>
              <w:spacing w:after="0"/>
              <w:jc w:val="right"/>
            </w:pPr>
            <w:r/>
            <w:r>
              <w:rPr>
                <w:sz w:val="16"/>
              </w:rPr>
              <w:t>6%</w:t>
            </w:r>
          </w:p>
        </w:tc>
        <w:tc>
          <w:tcPr>
            <w:tcW w:type="dxa" w:w="784"/>
          </w:tcPr>
          <w:p>
            <w:pPr>
              <w:spacing w:after="0"/>
              <w:jc w:val="right"/>
            </w:pPr>
            <w:r/>
            <w:r>
              <w:rPr>
                <w:sz w:val="16"/>
              </w:rPr>
              <w:t>-1.3</w:t>
            </w:r>
          </w:p>
        </w:tc>
        <w:tc>
          <w:tcPr>
            <w:tcW w:type="dxa" w:w="784"/>
          </w:tcPr>
          <w:p>
            <w:pPr>
              <w:spacing w:after="0"/>
              <w:jc w:val="right"/>
            </w:pPr>
            <w:r/>
            <w:r>
              <w:rPr>
                <w:sz w:val="16"/>
              </w:rPr>
              <w:t>-5.0</w:t>
            </w:r>
          </w:p>
        </w:tc>
      </w:tr>
      <w:tr>
        <w:tc>
          <w:tcPr>
            <w:tcW w:type="dxa" w:w="3377"/>
          </w:tcPr>
          <w:p>
            <w:pPr>
              <w:spacing w:after="0"/>
              <w:jc w:val="left"/>
            </w:pPr>
            <w:r/>
            <w:r>
              <w:rPr>
                <w:sz w:val="16"/>
              </w:rPr>
              <w:t>2020 COVID</w:t>
            </w:r>
          </w:p>
        </w:tc>
        <w:tc>
          <w:tcPr>
            <w:tcW w:type="dxa" w:w="784"/>
          </w:tcPr>
          <w:p>
            <w:pPr>
              <w:spacing w:after="0"/>
              <w:jc w:val="right"/>
            </w:pPr>
            <w:r/>
            <w:r>
              <w:rPr>
                <w:sz w:val="16"/>
              </w:rPr>
              <w:t>12</w:t>
            </w:r>
          </w:p>
        </w:tc>
        <w:tc>
          <w:tcPr>
            <w:tcW w:type="dxa" w:w="784"/>
          </w:tcPr>
          <w:p>
            <w:pPr>
              <w:spacing w:after="0"/>
              <w:jc w:val="right"/>
            </w:pPr>
            <w:r/>
            <w:r>
              <w:rPr>
                <w:sz w:val="16"/>
              </w:rPr>
              <w:t>81.5</w:t>
            </w:r>
          </w:p>
        </w:tc>
        <w:tc>
          <w:tcPr>
            <w:tcW w:type="dxa" w:w="784"/>
          </w:tcPr>
          <w:p>
            <w:pPr>
              <w:spacing w:after="0"/>
              <w:jc w:val="right"/>
            </w:pPr>
            <w:r/>
            <w:r>
              <w:rPr>
                <w:sz w:val="16"/>
              </w:rPr>
              <w:t>75.4</w:t>
            </w:r>
          </w:p>
        </w:tc>
        <w:tc>
          <w:tcPr>
            <w:tcW w:type="dxa" w:w="784"/>
          </w:tcPr>
          <w:p>
            <w:pPr>
              <w:spacing w:after="0"/>
              <w:jc w:val="right"/>
            </w:pPr>
            <w:r/>
            <w:r>
              <w:rPr>
                <w:sz w:val="16"/>
              </w:rPr>
              <w:t>6.2</w:t>
            </w:r>
          </w:p>
        </w:tc>
        <w:tc>
          <w:tcPr>
            <w:tcW w:type="dxa" w:w="784"/>
          </w:tcPr>
          <w:p>
            <w:pPr>
              <w:spacing w:after="0"/>
              <w:jc w:val="right"/>
            </w:pPr>
            <w:r/>
            <w:r>
              <w:rPr>
                <w:sz w:val="16"/>
              </w:rPr>
              <w:t>6.2</w:t>
            </w:r>
          </w:p>
        </w:tc>
        <w:tc>
          <w:tcPr>
            <w:tcW w:type="dxa" w:w="784"/>
          </w:tcPr>
          <w:p>
            <w:pPr>
              <w:spacing w:after="0"/>
              <w:jc w:val="right"/>
            </w:pPr>
            <w:r/>
            <w:r>
              <w:rPr>
                <w:sz w:val="16"/>
              </w:rPr>
              <w:t>8%</w:t>
            </w:r>
          </w:p>
        </w:tc>
        <w:tc>
          <w:tcPr>
            <w:tcW w:type="dxa" w:w="784"/>
          </w:tcPr>
          <w:p>
            <w:pPr>
              <w:spacing w:after="0"/>
              <w:jc w:val="right"/>
            </w:pPr>
            <w:r/>
            <w:r>
              <w:rPr>
                <w:sz w:val="16"/>
              </w:rPr>
              <w:t>6.6</w:t>
            </w:r>
          </w:p>
        </w:tc>
        <w:tc>
          <w:tcPr>
            <w:tcW w:type="dxa" w:w="784"/>
          </w:tcPr>
          <w:p>
            <w:pPr>
              <w:spacing w:after="0"/>
              <w:jc w:val="right"/>
            </w:pPr>
            <w:r/>
            <w:r>
              <w:rPr>
                <w:sz w:val="16"/>
              </w:rPr>
              <w:t>5.9</w:t>
            </w:r>
          </w:p>
        </w:tc>
      </w:tr>
      <w:tr>
        <w:tc>
          <w:tcPr>
            <w:tcW w:type="dxa" w:w="3377"/>
          </w:tcPr>
          <w:p>
            <w:pPr>
              <w:spacing w:after="0"/>
              <w:jc w:val="left"/>
            </w:pPr>
            <w:r/>
            <w:r>
              <w:rPr>
                <w:sz w:val="16"/>
              </w:rPr>
              <w:t>2021–2022 inflation surge</w:t>
            </w:r>
          </w:p>
        </w:tc>
        <w:tc>
          <w:tcPr>
            <w:tcW w:type="dxa" w:w="784"/>
          </w:tcPr>
          <w:p>
            <w:pPr>
              <w:spacing w:after="0"/>
              <w:jc w:val="right"/>
            </w:pPr>
            <w:r/>
            <w:r>
              <w:rPr>
                <w:sz w:val="16"/>
              </w:rPr>
              <w:t>24</w:t>
            </w:r>
          </w:p>
        </w:tc>
        <w:tc>
          <w:tcPr>
            <w:tcW w:type="dxa" w:w="784"/>
          </w:tcPr>
          <w:p>
            <w:pPr>
              <w:spacing w:after="0"/>
              <w:jc w:val="right"/>
            </w:pPr>
            <w:r/>
            <w:r>
              <w:rPr>
                <w:sz w:val="16"/>
              </w:rPr>
              <w:t>68.3</w:t>
            </w:r>
          </w:p>
        </w:tc>
        <w:tc>
          <w:tcPr>
            <w:tcW w:type="dxa" w:w="784"/>
          </w:tcPr>
          <w:p>
            <w:pPr>
              <w:spacing w:after="0"/>
              <w:jc w:val="right"/>
            </w:pPr>
            <w:r/>
            <w:r>
              <w:rPr>
                <w:sz w:val="16"/>
              </w:rPr>
              <w:t>86.7</w:t>
            </w:r>
          </w:p>
        </w:tc>
        <w:tc>
          <w:tcPr>
            <w:tcW w:type="dxa" w:w="784"/>
          </w:tcPr>
          <w:p>
            <w:pPr>
              <w:spacing w:after="0"/>
              <w:jc w:val="right"/>
            </w:pPr>
            <w:r/>
            <w:r>
              <w:rPr>
                <w:sz w:val="16"/>
              </w:rPr>
              <w:t>-18.4</w:t>
            </w:r>
          </w:p>
        </w:tc>
        <w:tc>
          <w:tcPr>
            <w:tcW w:type="dxa" w:w="784"/>
          </w:tcPr>
          <w:p>
            <w:pPr>
              <w:spacing w:after="0"/>
              <w:jc w:val="right"/>
            </w:pPr>
            <w:r/>
            <w:r>
              <w:rPr>
                <w:sz w:val="16"/>
              </w:rPr>
              <w:t>-18.4</w:t>
            </w:r>
          </w:p>
        </w:tc>
        <w:tc>
          <w:tcPr>
            <w:tcW w:type="dxa" w:w="784"/>
          </w:tcPr>
          <w:p>
            <w:pPr>
              <w:spacing w:after="0"/>
              <w:jc w:val="right"/>
            </w:pPr>
            <w:r/>
            <w:r>
              <w:rPr>
                <w:sz w:val="16"/>
              </w:rPr>
              <w:t>71%</w:t>
            </w:r>
          </w:p>
        </w:tc>
        <w:tc>
          <w:tcPr>
            <w:tcW w:type="dxa" w:w="784"/>
          </w:tcPr>
          <w:p>
            <w:pPr>
              <w:spacing w:after="0"/>
              <w:jc w:val="right"/>
            </w:pPr>
            <w:r/>
            <w:r>
              <w:rPr>
                <w:sz w:val="16"/>
              </w:rPr>
              <w:t>-27.1</w:t>
            </w:r>
          </w:p>
        </w:tc>
        <w:tc>
          <w:tcPr>
            <w:tcW w:type="dxa" w:w="784"/>
          </w:tcPr>
          <w:p>
            <w:pPr>
              <w:spacing w:after="0"/>
              <w:jc w:val="right"/>
            </w:pPr>
            <w:r/>
            <w:r>
              <w:rPr>
                <w:sz w:val="16"/>
              </w:rPr>
              <w:t>-12.8</w:t>
            </w:r>
          </w:p>
        </w:tc>
      </w:tr>
      <w:tr>
        <w:tc>
          <w:tcPr>
            <w:tcW w:type="dxa" w:w="3377"/>
          </w:tcPr>
          <w:p>
            <w:pPr>
              <w:spacing w:after="0"/>
              <w:jc w:val="left"/>
            </w:pPr>
            <w:r/>
            <w:r>
              <w:rPr>
                <w:sz w:val="16"/>
              </w:rPr>
              <w:t>2023–2024 disinflation</w:t>
            </w:r>
          </w:p>
        </w:tc>
        <w:tc>
          <w:tcPr>
            <w:tcW w:type="dxa" w:w="784"/>
          </w:tcPr>
          <w:p>
            <w:pPr>
              <w:spacing w:after="0"/>
              <w:jc w:val="right"/>
            </w:pPr>
            <w:r/>
            <w:r>
              <w:rPr>
                <w:sz w:val="16"/>
              </w:rPr>
              <w:t>24</w:t>
            </w:r>
          </w:p>
        </w:tc>
        <w:tc>
          <w:tcPr>
            <w:tcW w:type="dxa" w:w="784"/>
          </w:tcPr>
          <w:p>
            <w:pPr>
              <w:spacing w:after="0"/>
              <w:jc w:val="right"/>
            </w:pPr>
            <w:r/>
            <w:r>
              <w:rPr>
                <w:sz w:val="16"/>
              </w:rPr>
              <w:t>68.9</w:t>
            </w:r>
          </w:p>
        </w:tc>
        <w:tc>
          <w:tcPr>
            <w:tcW w:type="dxa" w:w="784"/>
          </w:tcPr>
          <w:p>
            <w:pPr>
              <w:spacing w:after="0"/>
              <w:jc w:val="right"/>
            </w:pPr>
            <w:r/>
            <w:r>
              <w:rPr>
                <w:sz w:val="16"/>
              </w:rPr>
              <w:t>88.1</w:t>
            </w:r>
          </w:p>
        </w:tc>
        <w:tc>
          <w:tcPr>
            <w:tcW w:type="dxa" w:w="784"/>
          </w:tcPr>
          <w:p>
            <w:pPr>
              <w:spacing w:after="0"/>
              <w:jc w:val="right"/>
            </w:pPr>
            <w:r/>
            <w:r>
              <w:rPr>
                <w:sz w:val="16"/>
              </w:rPr>
              <w:t>-19.1</w:t>
            </w:r>
          </w:p>
        </w:tc>
        <w:tc>
          <w:tcPr>
            <w:tcW w:type="dxa" w:w="784"/>
          </w:tcPr>
          <w:p>
            <w:pPr>
              <w:spacing w:after="0"/>
              <w:jc w:val="right"/>
            </w:pPr>
            <w:r/>
            <w:r>
              <w:rPr>
                <w:sz w:val="16"/>
              </w:rPr>
              <w:t>-17.0</w:t>
            </w:r>
          </w:p>
        </w:tc>
        <w:tc>
          <w:tcPr>
            <w:tcW w:type="dxa" w:w="784"/>
          </w:tcPr>
          <w:p>
            <w:pPr>
              <w:spacing w:after="0"/>
              <w:jc w:val="right"/>
            </w:pPr>
            <w:r/>
            <w:r>
              <w:rPr>
                <w:sz w:val="16"/>
              </w:rPr>
              <w:t>50%</w:t>
            </w:r>
          </w:p>
        </w:tc>
        <w:tc>
          <w:tcPr>
            <w:tcW w:type="dxa" w:w="784"/>
          </w:tcPr>
          <w:p>
            <w:pPr>
              <w:spacing w:after="0"/>
              <w:jc w:val="right"/>
            </w:pPr>
            <w:r/>
            <w:r>
              <w:rPr>
                <w:sz w:val="16"/>
              </w:rPr>
              <w:t>-30.4</w:t>
            </w:r>
          </w:p>
        </w:tc>
        <w:tc>
          <w:tcPr>
            <w:tcW w:type="dxa" w:w="784"/>
          </w:tcPr>
          <w:p>
            <w:pPr>
              <w:spacing w:after="0"/>
              <w:jc w:val="right"/>
            </w:pPr>
            <w:r/>
            <w:r>
              <w:rPr>
                <w:sz w:val="16"/>
              </w:rPr>
              <w:t>-11.9</w:t>
            </w:r>
          </w:p>
        </w:tc>
      </w:tr>
      <w:tr>
        <w:tc>
          <w:tcPr>
            <w:tcW w:type="dxa" w:w="3377"/>
          </w:tcPr>
          <w:p>
            <w:pPr>
              <w:spacing w:after="0"/>
              <w:jc w:val="left"/>
            </w:pPr>
            <w:r/>
            <w:r>
              <w:rPr>
                <w:sz w:val="16"/>
              </w:rPr>
              <w:t>2025</w:t>
            </w:r>
          </w:p>
        </w:tc>
        <w:tc>
          <w:tcPr>
            <w:tcW w:type="dxa" w:w="784"/>
          </w:tcPr>
          <w:p>
            <w:pPr>
              <w:spacing w:after="0"/>
              <w:jc w:val="right"/>
            </w:pPr>
            <w:r/>
            <w:r>
              <w:rPr>
                <w:sz w:val="16"/>
              </w:rPr>
              <w:t>12</w:t>
            </w:r>
          </w:p>
        </w:tc>
        <w:tc>
          <w:tcPr>
            <w:tcW w:type="dxa" w:w="784"/>
          </w:tcPr>
          <w:p>
            <w:pPr>
              <w:spacing w:after="0"/>
              <w:jc w:val="right"/>
            </w:pPr>
            <w:r/>
            <w:r>
              <w:rPr>
                <w:sz w:val="16"/>
              </w:rPr>
              <w:t>57.6</w:t>
            </w:r>
          </w:p>
        </w:tc>
        <w:tc>
          <w:tcPr>
            <w:tcW w:type="dxa" w:w="784"/>
          </w:tcPr>
          <w:p>
            <w:pPr>
              <w:spacing w:after="0"/>
              <w:jc w:val="right"/>
            </w:pPr>
            <w:r/>
            <w:r>
              <w:rPr>
                <w:sz w:val="16"/>
              </w:rPr>
              <w:t>87.6</w:t>
            </w:r>
          </w:p>
        </w:tc>
        <w:tc>
          <w:tcPr>
            <w:tcW w:type="dxa" w:w="784"/>
          </w:tcPr>
          <w:p>
            <w:pPr>
              <w:spacing w:after="0"/>
              <w:jc w:val="right"/>
            </w:pPr>
            <w:r/>
            <w:r>
              <w:rPr>
                <w:sz w:val="16"/>
              </w:rPr>
              <w:t>-30.0</w:t>
            </w:r>
          </w:p>
        </w:tc>
        <w:tc>
          <w:tcPr>
            <w:tcW w:type="dxa" w:w="784"/>
          </w:tcPr>
          <w:p>
            <w:pPr>
              <w:spacing w:after="0"/>
              <w:jc w:val="right"/>
            </w:pPr>
            <w:r/>
            <w:r>
              <w:rPr>
                <w:sz w:val="16"/>
              </w:rPr>
              <w:t>-23.4</w:t>
            </w:r>
          </w:p>
        </w:tc>
        <w:tc>
          <w:tcPr>
            <w:tcW w:type="dxa" w:w="784"/>
          </w:tcPr>
          <w:p>
            <w:pPr>
              <w:spacing w:after="0"/>
              <w:jc w:val="right"/>
            </w:pPr>
            <w:r/>
            <w:r>
              <w:rPr>
                <w:sz w:val="16"/>
              </w:rPr>
              <w:t>92%</w:t>
            </w:r>
          </w:p>
        </w:tc>
        <w:tc>
          <w:tcPr>
            <w:tcW w:type="dxa" w:w="784"/>
          </w:tcPr>
          <w:p>
            <w:pPr>
              <w:spacing w:after="0"/>
              <w:jc w:val="right"/>
            </w:pPr>
            <w:r/>
            <w:r>
              <w:rPr>
                <w:sz w:val="16"/>
              </w:rPr>
              <w:t>-37.7</w:t>
            </w:r>
          </w:p>
        </w:tc>
        <w:tc>
          <w:tcPr>
            <w:tcW w:type="dxa" w:w="784"/>
          </w:tcPr>
          <w:p>
            <w:pPr>
              <w:spacing w:after="0"/>
              <w:jc w:val="right"/>
            </w:pPr>
            <w:r/>
            <w:r>
              <w:rPr>
                <w:sz w:val="16"/>
              </w:rPr>
              <w:t>-25.1</w:t>
            </w:r>
          </w:p>
        </w:tc>
      </w:tr>
      <w:tr>
        <w:tc>
          <w:tcPr>
            <w:tcW w:type="dxa" w:w="3377"/>
          </w:tcPr>
          <w:p>
            <w:pPr>
              <w:spacing w:after="0"/>
              <w:jc w:val="left"/>
            </w:pPr>
            <w:r/>
            <w:r>
              <w:rPr>
                <w:sz w:val="16"/>
              </w:rPr>
              <w:t>2026 (to Oct, pre-midterm)</w:t>
            </w:r>
          </w:p>
        </w:tc>
        <w:tc>
          <w:tcPr>
            <w:tcW w:type="dxa" w:w="784"/>
          </w:tcPr>
          <w:p>
            <w:pPr>
              <w:spacing w:after="0"/>
              <w:jc w:val="right"/>
            </w:pPr>
            <w:r/>
            <w:r>
              <w:rPr>
                <w:sz w:val="16"/>
              </w:rPr>
              <w:t>10</w:t>
            </w:r>
          </w:p>
        </w:tc>
        <w:tc>
          <w:tcPr>
            <w:tcW w:type="dxa" w:w="784"/>
          </w:tcPr>
          <w:p>
            <w:pPr>
              <w:spacing w:after="0"/>
              <w:jc w:val="right"/>
            </w:pPr>
            <w:r/>
            <w:r>
              <w:rPr>
                <w:sz w:val="16"/>
              </w:rPr>
              <w:t>51.2</w:t>
            </w:r>
          </w:p>
        </w:tc>
        <w:tc>
          <w:tcPr>
            <w:tcW w:type="dxa" w:w="784"/>
          </w:tcPr>
          <w:p>
            <w:pPr>
              <w:spacing w:after="0"/>
              <w:jc w:val="right"/>
            </w:pPr>
            <w:r/>
            <w:r>
              <w:rPr>
                <w:sz w:val="16"/>
              </w:rPr>
              <w:t>84.6</w:t>
            </w:r>
          </w:p>
        </w:tc>
        <w:tc>
          <w:tcPr>
            <w:tcW w:type="dxa" w:w="784"/>
          </w:tcPr>
          <w:p>
            <w:pPr>
              <w:spacing w:after="0"/>
              <w:jc w:val="right"/>
            </w:pPr>
            <w:r/>
            <w:r>
              <w:rPr>
                <w:sz w:val="16"/>
              </w:rPr>
              <w:t>-33.5</w:t>
            </w:r>
          </w:p>
        </w:tc>
        <w:tc>
          <w:tcPr>
            <w:tcW w:type="dxa" w:w="784"/>
          </w:tcPr>
          <w:p>
            <w:pPr>
              <w:spacing w:after="0"/>
              <w:jc w:val="right"/>
            </w:pPr>
            <w:r/>
            <w:r>
              <w:rPr>
                <w:sz w:val="16"/>
              </w:rPr>
              <w:t>-26.9</w:t>
            </w:r>
          </w:p>
        </w:tc>
        <w:tc>
          <w:tcPr>
            <w:tcW w:type="dxa" w:w="784"/>
          </w:tcPr>
          <w:p>
            <w:pPr>
              <w:spacing w:after="0"/>
              <w:jc w:val="right"/>
            </w:pPr>
            <w:r/>
            <w:r>
              <w:rPr>
                <w:sz w:val="16"/>
              </w:rPr>
              <w:t>100%</w:t>
            </w:r>
          </w:p>
        </w:tc>
        <w:tc>
          <w:tcPr>
            <w:tcW w:type="dxa" w:w="784"/>
          </w:tcPr>
          <w:p>
            <w:pPr>
              <w:spacing w:after="0"/>
              <w:jc w:val="right"/>
            </w:pPr>
            <w:r/>
            <w:r>
              <w:rPr>
                <w:sz w:val="16"/>
              </w:rPr>
              <w:t>-43.7</w:t>
            </w:r>
          </w:p>
        </w:tc>
        <w:tc>
          <w:tcPr>
            <w:tcW w:type="dxa" w:w="784"/>
          </w:tcPr>
          <w:p>
            <w:pPr>
              <w:spacing w:after="0"/>
              <w:jc w:val="right"/>
            </w:pPr>
            <w:r/>
            <w:r>
              <w:rPr>
                <w:sz w:val="16"/>
              </w:rPr>
              <w:t>-25.8</w:t>
            </w:r>
          </w:p>
        </w:tc>
      </w:tr>
    </w:tbl>
    <w:p>
      <w:pPr>
        <w:spacing w:after="120"/>
      </w:pPr>
      <w:r>
        <w:rPr>
          <w:b w:val="0"/>
          <w:i/>
          <w:color w:val="4A5260"/>
          <w:sz w:val="16"/>
        </w:rPr>
        <w:t>A negative gap is unexplained pessimism under this model, not proof of perceptual bias. The 2008–09 gap (−18.8) is a useful benchmark: large gaps also occur when the model misses real shocks (housing wealth, credit).</w:t>
      </w:r>
    </w:p>
    <w:p>
      <w:pPr>
        <w:jc w:val="both"/>
      </w:pPr>
      <w:r>
        <w:rPr>
          <w:b/>
          <w:i w:val="0"/>
        </w:rPr>
        <w:t>Robustness.</w:t>
      </w:r>
      <w:r>
        <w:rPr>
          <w:b w:val="0"/>
          <w:i w:val="0"/>
        </w:rPr>
        <w:t xml:space="preserve"> The 2025–26 gap is essentially unchanged with core instead of headline PCE (-31.1), q/q instead of y/y GDP (-33.1) or revised data (-31.5); the forbidden look-ahead GDP variant gives -32.8 (outputs/tables/robustness_gap.csv). It shrinks sharply only when the model may re-estimate on recent data (rolling 60-month window: -13.4) — the relationship itself shifted. A post-2021 intercept dummy is -20.1 (p &lt; 0.001) with the web share -13.6 (p = 0.007): evidence for E3 (model instability and measurement) alongside E1. Seasonality: Michigan's index is not seasonally adjusted, but calendar-month dummies are jointly insignificant (HAC F = 1.45, p = 0.15) and leave the 2025–26 gap at -32.0.</w:t>
      </w:r>
    </w:p>
    <w:p>
      <w:pPr>
        <w:pStyle w:val="Heading1"/>
      </w:pPr>
      <w:r>
        <w:t>3. How much do unemployment, inflation and growth explain? (RQ3) — and what else does</w:t>
      </w:r>
    </w:p>
    <w:p>
      <w:pPr>
        <w:jc w:val="both"/>
      </w:pPr>
      <w:r>
        <w:rPr>
          <w:b/>
          <w:i w:val="0"/>
        </w:rPr>
        <w:t>FINDING.</w:t>
      </w:r>
      <w:r>
        <w:rPr>
          <w:b w:val="0"/>
          <w:i w:val="0"/>
        </w:rPr>
        <w:t xml:space="preserve"> Between 2019 and 2025–26, ICS fell 41.3 points. With 1978–2019 coefficients, the three headline indicators account for only </w:t>
      </w:r>
      <w:r>
        <w:rPr>
          <w:b/>
          <w:i w:val="0"/>
        </w:rPr>
        <w:t>-5.2 points (13%)</w:t>
      </w:r>
      <w:r>
        <w:rPr>
          <w:b w:val="0"/>
          <w:i w:val="0"/>
        </w:rPr>
        <w:t>: unemployment is up ~0.5 pp, inflation is above 2019 but well below 2022, and growth is close to trend. Adding Michigan's web-mode offset raises the explained share to about 29%. The brief's three indicators therefore leave most of the decline unexplained.</w:t>
      </w:r>
    </w:p>
    <w:p>
      <w:pPr>
        <w:jc w:val="both"/>
      </w:pPr>
      <w:r>
        <w:rPr>
          <w:b/>
          <w:i w:val="0"/>
        </w:rPr>
        <w:t>Alternative explanation E1: household pressures.</w:t>
      </w:r>
      <w:r>
        <w:rPr>
          <w:b w:val="0"/>
          <w:i w:val="0"/>
        </w:rPr>
        <w:t xml:space="preserve"> We test a small set of controls, each one at a time (Holm-adjusted) and in a combined model fit on 2000–2019 (M1H2) and evaluated out-of-sample from 2008. Long-history </w:t>
      </w:r>
      <w:r>
        <w:rPr>
          <w:b w:val="0"/>
          <w:i/>
        </w:rPr>
        <w:t>levels</w:t>
      </w:r>
      <w:r>
        <w:rPr>
          <w:b w:val="0"/>
          <w:i w:val="0"/>
        </w:rPr>
        <w:t xml:space="preserve"> (mortgage rate, price-level gap) enter with counter-intuitive signs on 1978–2019 because they trend with regimes, so we specify the household model </w:t>
      </w:r>
      <w:r>
        <w:rPr>
          <w:b/>
          <w:i w:val="0"/>
        </w:rPr>
        <w:t>a priori</w:t>
      </w:r>
      <w:r>
        <w:rPr>
          <w:b w:val="0"/>
          <w:i w:val="0"/>
        </w:rPr>
        <w:t xml:space="preserve"> in growth/changes and use the 2000+ controls.</w:t>
      </w:r>
    </w:p>
    <w:p>
      <w:pPr>
        <w:spacing w:after="40"/>
      </w:pPr>
      <w:r>
        <w:rPr>
          <w:b/>
          <w:i w:val="0"/>
          <w:sz w:val="19"/>
        </w:rPr>
        <w:t>Table 2. Decomposition of the 2019 → 2025–26 change with the household-pressure model (M1H2).</w:t>
      </w:r>
    </w:p>
    <w:tbl>
      <w:tblPr>
        <w:tblStyle w:val="TableGrid"/>
        <w:tblW w:type="auto" w:w="0"/>
        <w:jc w:val="center"/>
        <w:tblLayout w:type="fixed"/>
        <w:tblLook w:firstColumn="1" w:firstRow="1" w:lastColumn="0" w:lastRow="0" w:noHBand="0" w:noVBand="1" w:val="04A0"/>
      </w:tblPr>
      <w:tblGrid>
        <w:gridCol w:w="3377"/>
        <w:gridCol w:w="1568"/>
        <w:gridCol w:w="1568"/>
        <w:gridCol w:w="1568"/>
        <w:gridCol w:w="1568"/>
      </w:tblGrid>
      <w:tr>
        <w:tc>
          <w:tcPr>
            <w:tcW w:type="dxa" w:w="3377"/>
            <w:shd w:val="clear" w:color="auto" w:fill="E8EDF4"/>
          </w:tcPr>
          <w:p>
            <w:pPr>
              <w:spacing w:after="0"/>
            </w:pPr>
            <w:r/>
            <w:r>
              <w:rPr>
                <w:b/>
                <w:sz w:val="16"/>
              </w:rPr>
              <w:t>Variable</w:t>
            </w:r>
          </w:p>
        </w:tc>
        <w:tc>
          <w:tcPr>
            <w:tcW w:type="dxa" w:w="1568"/>
            <w:shd w:val="clear" w:color="auto" w:fill="E8EDF4"/>
          </w:tcPr>
          <w:p>
            <w:pPr>
              <w:spacing w:after="0"/>
            </w:pPr>
            <w:r/>
            <w:r>
              <w:rPr>
                <w:b/>
                <w:sz w:val="16"/>
              </w:rPr>
              <w:t>Coef (2000–19)</w:t>
            </w:r>
          </w:p>
        </w:tc>
        <w:tc>
          <w:tcPr>
            <w:tcW w:type="dxa" w:w="1568"/>
            <w:shd w:val="clear" w:color="auto" w:fill="E8EDF4"/>
          </w:tcPr>
          <w:p>
            <w:pPr>
              <w:spacing w:after="0"/>
            </w:pPr>
            <w:r/>
            <w:r>
              <w:rPr>
                <w:b/>
                <w:sz w:val="16"/>
              </w:rPr>
              <w:t>p</w:t>
            </w:r>
          </w:p>
        </w:tc>
        <w:tc>
          <w:tcPr>
            <w:tcW w:type="dxa" w:w="1568"/>
            <w:shd w:val="clear" w:color="auto" w:fill="E8EDF4"/>
          </w:tcPr>
          <w:p>
            <w:pPr>
              <w:spacing w:after="0"/>
            </w:pPr>
            <w:r/>
            <w:r>
              <w:rPr>
                <w:b/>
                <w:sz w:val="16"/>
              </w:rPr>
              <w:t>Change 2019→25/26</w:t>
            </w:r>
          </w:p>
        </w:tc>
        <w:tc>
          <w:tcPr>
            <w:tcW w:type="dxa" w:w="1568"/>
            <w:shd w:val="clear" w:color="auto" w:fill="E8EDF4"/>
          </w:tcPr>
          <w:p>
            <w:pPr>
              <w:spacing w:after="0"/>
            </w:pPr>
            <w:r/>
            <w:r>
              <w:rPr>
                <w:b/>
                <w:sz w:val="16"/>
              </w:rPr>
              <w:t>Contribution (pts)</w:t>
            </w:r>
          </w:p>
        </w:tc>
      </w:tr>
      <w:tr>
        <w:tc>
          <w:tcPr>
            <w:tcW w:type="dxa" w:w="3377"/>
          </w:tcPr>
          <w:p>
            <w:pPr>
              <w:spacing w:after="0"/>
              <w:jc w:val="left"/>
            </w:pPr>
            <w:r/>
            <w:r>
              <w:rPr>
                <w:sz w:val="16"/>
              </w:rPr>
              <w:t>U-3</w:t>
            </w:r>
          </w:p>
        </w:tc>
        <w:tc>
          <w:tcPr>
            <w:tcW w:type="dxa" w:w="1568"/>
          </w:tcPr>
          <w:p>
            <w:pPr>
              <w:spacing w:after="0"/>
              <w:jc w:val="right"/>
            </w:pPr>
            <w:r/>
            <w:r>
              <w:rPr>
                <w:sz w:val="16"/>
              </w:rPr>
              <w:t>3.85</w:t>
            </w:r>
          </w:p>
        </w:tc>
        <w:tc>
          <w:tcPr>
            <w:tcW w:type="dxa" w:w="1568"/>
          </w:tcPr>
          <w:p>
            <w:pPr>
              <w:spacing w:after="0"/>
              <w:jc w:val="right"/>
            </w:pPr>
            <w:r/>
            <w:r>
              <w:rPr>
                <w:sz w:val="16"/>
              </w:rPr>
              <w:t>0.201</w:t>
            </w:r>
          </w:p>
        </w:tc>
        <w:tc>
          <w:tcPr>
            <w:tcW w:type="dxa" w:w="1568"/>
          </w:tcPr>
          <w:p>
            <w:pPr>
              <w:spacing w:after="0"/>
              <w:jc w:val="right"/>
            </w:pPr>
            <w:r/>
            <w:r>
              <w:rPr>
                <w:sz w:val="16"/>
              </w:rPr>
              <w:t>0.54</w:t>
            </w:r>
          </w:p>
        </w:tc>
        <w:tc>
          <w:tcPr>
            <w:tcW w:type="dxa" w:w="1568"/>
          </w:tcPr>
          <w:p>
            <w:pPr>
              <w:spacing w:after="0"/>
              <w:jc w:val="right"/>
            </w:pPr>
            <w:r/>
            <w:r>
              <w:rPr>
                <w:sz w:val="16"/>
              </w:rPr>
              <w:t>2.1</w:t>
            </w:r>
          </w:p>
        </w:tc>
      </w:tr>
      <w:tr>
        <w:tc>
          <w:tcPr>
            <w:tcW w:type="dxa" w:w="3377"/>
          </w:tcPr>
          <w:p>
            <w:pPr>
              <w:spacing w:after="0"/>
              <w:jc w:val="left"/>
            </w:pPr>
            <w:r/>
            <w:r>
              <w:rPr>
                <w:sz w:val="16"/>
              </w:rPr>
              <w:t>PCE inflation y/y</w:t>
            </w:r>
          </w:p>
        </w:tc>
        <w:tc>
          <w:tcPr>
            <w:tcW w:type="dxa" w:w="1568"/>
          </w:tcPr>
          <w:p>
            <w:pPr>
              <w:spacing w:after="0"/>
              <w:jc w:val="right"/>
            </w:pPr>
            <w:r/>
            <w:r>
              <w:rPr>
                <w:sz w:val="16"/>
              </w:rPr>
              <w:t>-0.34</w:t>
            </w:r>
          </w:p>
        </w:tc>
        <w:tc>
          <w:tcPr>
            <w:tcW w:type="dxa" w:w="1568"/>
          </w:tcPr>
          <w:p>
            <w:pPr>
              <w:spacing w:after="0"/>
              <w:jc w:val="right"/>
            </w:pPr>
            <w:r/>
            <w:r>
              <w:rPr>
                <w:sz w:val="16"/>
              </w:rPr>
              <w:t>0.718</w:t>
            </w:r>
          </w:p>
        </w:tc>
        <w:tc>
          <w:tcPr>
            <w:tcW w:type="dxa" w:w="1568"/>
          </w:tcPr>
          <w:p>
            <w:pPr>
              <w:spacing w:after="0"/>
              <w:jc w:val="right"/>
            </w:pPr>
            <w:r/>
            <w:r>
              <w:rPr>
                <w:sz w:val="16"/>
              </w:rPr>
              <w:t>1.35</w:t>
            </w:r>
          </w:p>
        </w:tc>
        <w:tc>
          <w:tcPr>
            <w:tcW w:type="dxa" w:w="1568"/>
          </w:tcPr>
          <w:p>
            <w:pPr>
              <w:spacing w:after="0"/>
              <w:jc w:val="right"/>
            </w:pPr>
            <w:r/>
            <w:r>
              <w:rPr>
                <w:sz w:val="16"/>
              </w:rPr>
              <w:t>-0.5</w:t>
            </w:r>
          </w:p>
        </w:tc>
      </w:tr>
      <w:tr>
        <w:tc>
          <w:tcPr>
            <w:tcW w:type="dxa" w:w="3377"/>
          </w:tcPr>
          <w:p>
            <w:pPr>
              <w:spacing w:after="0"/>
              <w:jc w:val="left"/>
            </w:pPr>
            <w:r/>
            <w:r>
              <w:rPr>
                <w:sz w:val="16"/>
              </w:rPr>
              <w:t>Real GDP y/y</w:t>
            </w:r>
          </w:p>
        </w:tc>
        <w:tc>
          <w:tcPr>
            <w:tcW w:type="dxa" w:w="1568"/>
          </w:tcPr>
          <w:p>
            <w:pPr>
              <w:spacing w:after="0"/>
              <w:jc w:val="right"/>
            </w:pPr>
            <w:r/>
            <w:r>
              <w:rPr>
                <w:sz w:val="16"/>
              </w:rPr>
              <w:t>1.86</w:t>
            </w:r>
          </w:p>
        </w:tc>
        <w:tc>
          <w:tcPr>
            <w:tcW w:type="dxa" w:w="1568"/>
          </w:tcPr>
          <w:p>
            <w:pPr>
              <w:spacing w:after="0"/>
              <w:jc w:val="right"/>
            </w:pPr>
            <w:r/>
            <w:r>
              <w:rPr>
                <w:sz w:val="16"/>
              </w:rPr>
              <w:t>0.011</w:t>
            </w:r>
          </w:p>
        </w:tc>
        <w:tc>
          <w:tcPr>
            <w:tcW w:type="dxa" w:w="1568"/>
          </w:tcPr>
          <w:p>
            <w:pPr>
              <w:spacing w:after="0"/>
              <w:jc w:val="right"/>
            </w:pPr>
            <w:r/>
            <w:r>
              <w:rPr>
                <w:sz w:val="16"/>
              </w:rPr>
              <w:t>-0.46</w:t>
            </w:r>
          </w:p>
        </w:tc>
        <w:tc>
          <w:tcPr>
            <w:tcW w:type="dxa" w:w="1568"/>
          </w:tcPr>
          <w:p>
            <w:pPr>
              <w:spacing w:after="0"/>
              <w:jc w:val="right"/>
            </w:pPr>
            <w:r/>
            <w:r>
              <w:rPr>
                <w:sz w:val="16"/>
              </w:rPr>
              <w:t>-0.9</w:t>
            </w:r>
          </w:p>
        </w:tc>
      </w:tr>
      <w:tr>
        <w:tc>
          <w:tcPr>
            <w:tcW w:type="dxa" w:w="3377"/>
          </w:tcPr>
          <w:p>
            <w:pPr>
              <w:spacing w:after="0"/>
              <w:jc w:val="left"/>
            </w:pPr>
            <w:r/>
            <w:r>
              <w:rPr>
                <w:sz w:val="16"/>
              </w:rPr>
              <w:t>Cumulative 3-yr inflation (price level)</w:t>
            </w:r>
          </w:p>
        </w:tc>
        <w:tc>
          <w:tcPr>
            <w:tcW w:type="dxa" w:w="1568"/>
          </w:tcPr>
          <w:p>
            <w:pPr>
              <w:spacing w:after="0"/>
              <w:jc w:val="right"/>
            </w:pPr>
            <w:r/>
            <w:r>
              <w:rPr>
                <w:sz w:val="16"/>
              </w:rPr>
              <w:t>-1.95</w:t>
            </w:r>
          </w:p>
        </w:tc>
        <w:tc>
          <w:tcPr>
            <w:tcW w:type="dxa" w:w="1568"/>
          </w:tcPr>
          <w:p>
            <w:pPr>
              <w:spacing w:after="0"/>
              <w:jc w:val="right"/>
            </w:pPr>
            <w:r/>
            <w:r>
              <w:rPr>
                <w:sz w:val="16"/>
              </w:rPr>
              <w:t>0.000</w:t>
            </w:r>
          </w:p>
        </w:tc>
        <w:tc>
          <w:tcPr>
            <w:tcW w:type="dxa" w:w="1568"/>
          </w:tcPr>
          <w:p>
            <w:pPr>
              <w:spacing w:after="0"/>
              <w:jc w:val="right"/>
            </w:pPr>
            <w:r/>
            <w:r>
              <w:rPr>
                <w:sz w:val="16"/>
              </w:rPr>
              <w:t>4.03</w:t>
            </w:r>
          </w:p>
        </w:tc>
        <w:tc>
          <w:tcPr>
            <w:tcW w:type="dxa" w:w="1568"/>
          </w:tcPr>
          <w:p>
            <w:pPr>
              <w:spacing w:after="0"/>
              <w:jc w:val="right"/>
            </w:pPr>
            <w:r/>
            <w:r>
              <w:rPr>
                <w:sz w:val="16"/>
              </w:rPr>
              <w:t>-7.8</w:t>
            </w:r>
          </w:p>
        </w:tc>
      </w:tr>
      <w:tr>
        <w:tc>
          <w:tcPr>
            <w:tcW w:type="dxa" w:w="3377"/>
          </w:tcPr>
          <w:p>
            <w:pPr>
              <w:spacing w:after="0"/>
              <w:jc w:val="left"/>
            </w:pPr>
            <w:r/>
            <w:r>
              <w:rPr>
                <w:sz w:val="16"/>
              </w:rPr>
              <w:t>Δ12m mortgage rate</w:t>
            </w:r>
          </w:p>
        </w:tc>
        <w:tc>
          <w:tcPr>
            <w:tcW w:type="dxa" w:w="1568"/>
          </w:tcPr>
          <w:p>
            <w:pPr>
              <w:spacing w:after="0"/>
              <w:jc w:val="right"/>
            </w:pPr>
            <w:r/>
            <w:r>
              <w:rPr>
                <w:sz w:val="16"/>
              </w:rPr>
              <w:t>0.82</w:t>
            </w:r>
          </w:p>
        </w:tc>
        <w:tc>
          <w:tcPr>
            <w:tcW w:type="dxa" w:w="1568"/>
          </w:tcPr>
          <w:p>
            <w:pPr>
              <w:spacing w:after="0"/>
              <w:jc w:val="right"/>
            </w:pPr>
            <w:r/>
            <w:r>
              <w:rPr>
                <w:sz w:val="16"/>
              </w:rPr>
              <w:t>0.537</w:t>
            </w:r>
          </w:p>
        </w:tc>
        <w:tc>
          <w:tcPr>
            <w:tcW w:type="dxa" w:w="1568"/>
          </w:tcPr>
          <w:p>
            <w:pPr>
              <w:spacing w:after="0"/>
              <w:jc w:val="right"/>
            </w:pPr>
            <w:r/>
            <w:r>
              <w:rPr>
                <w:sz w:val="16"/>
              </w:rPr>
              <w:t>0.46</w:t>
            </w:r>
          </w:p>
        </w:tc>
        <w:tc>
          <w:tcPr>
            <w:tcW w:type="dxa" w:w="1568"/>
          </w:tcPr>
          <w:p>
            <w:pPr>
              <w:spacing w:after="0"/>
              <w:jc w:val="right"/>
            </w:pPr>
            <w:r/>
            <w:r>
              <w:rPr>
                <w:sz w:val="16"/>
              </w:rPr>
              <w:t>0.4</w:t>
            </w:r>
          </w:p>
        </w:tc>
      </w:tr>
      <w:tr>
        <w:tc>
          <w:tcPr>
            <w:tcW w:type="dxa" w:w="3377"/>
          </w:tcPr>
          <w:p>
            <w:pPr>
              <w:spacing w:after="0"/>
              <w:jc w:val="left"/>
            </w:pPr>
            <w:r/>
            <w:r>
              <w:rPr>
                <w:sz w:val="16"/>
              </w:rPr>
              <w:t>Real disposable income pc y/y</w:t>
            </w:r>
          </w:p>
        </w:tc>
        <w:tc>
          <w:tcPr>
            <w:tcW w:type="dxa" w:w="1568"/>
          </w:tcPr>
          <w:p>
            <w:pPr>
              <w:spacing w:after="0"/>
              <w:jc w:val="right"/>
            </w:pPr>
            <w:r/>
            <w:r>
              <w:rPr>
                <w:sz w:val="16"/>
              </w:rPr>
              <w:t>0.44</w:t>
            </w:r>
          </w:p>
        </w:tc>
        <w:tc>
          <w:tcPr>
            <w:tcW w:type="dxa" w:w="1568"/>
          </w:tcPr>
          <w:p>
            <w:pPr>
              <w:spacing w:after="0"/>
              <w:jc w:val="right"/>
            </w:pPr>
            <w:r/>
            <w:r>
              <w:rPr>
                <w:sz w:val="16"/>
              </w:rPr>
              <w:t>0.268</w:t>
            </w:r>
          </w:p>
        </w:tc>
        <w:tc>
          <w:tcPr>
            <w:tcW w:type="dxa" w:w="1568"/>
          </w:tcPr>
          <w:p>
            <w:pPr>
              <w:spacing w:after="0"/>
              <w:jc w:val="right"/>
            </w:pPr>
            <w:r/>
            <w:r>
              <w:rPr>
                <w:sz w:val="16"/>
              </w:rPr>
              <w:t>-1.84</w:t>
            </w:r>
          </w:p>
        </w:tc>
        <w:tc>
          <w:tcPr>
            <w:tcW w:type="dxa" w:w="1568"/>
          </w:tcPr>
          <w:p>
            <w:pPr>
              <w:spacing w:after="0"/>
              <w:jc w:val="right"/>
            </w:pPr>
            <w:r/>
            <w:r>
              <w:rPr>
                <w:sz w:val="16"/>
              </w:rPr>
              <w:t>-0.8</w:t>
            </w:r>
          </w:p>
        </w:tc>
      </w:tr>
      <w:tr>
        <w:tc>
          <w:tcPr>
            <w:tcW w:type="dxa" w:w="3377"/>
          </w:tcPr>
          <w:p>
            <w:pPr>
              <w:spacing w:after="0"/>
              <w:jc w:val="left"/>
            </w:pPr>
            <w:r/>
            <w:r>
              <w:rPr>
                <w:sz w:val="16"/>
              </w:rPr>
              <w:t>U-6 underutilisation</w:t>
            </w:r>
          </w:p>
        </w:tc>
        <w:tc>
          <w:tcPr>
            <w:tcW w:type="dxa" w:w="1568"/>
          </w:tcPr>
          <w:p>
            <w:pPr>
              <w:spacing w:after="0"/>
              <w:jc w:val="right"/>
            </w:pPr>
            <w:r/>
            <w:r>
              <w:rPr>
                <w:sz w:val="16"/>
              </w:rPr>
              <w:t>-4.45</w:t>
            </w:r>
          </w:p>
        </w:tc>
        <w:tc>
          <w:tcPr>
            <w:tcW w:type="dxa" w:w="1568"/>
          </w:tcPr>
          <w:p>
            <w:pPr>
              <w:spacing w:after="0"/>
              <w:jc w:val="right"/>
            </w:pPr>
            <w:r/>
            <w:r>
              <w:rPr>
                <w:sz w:val="16"/>
              </w:rPr>
              <w:t>0.012</w:t>
            </w:r>
          </w:p>
        </w:tc>
        <w:tc>
          <w:tcPr>
            <w:tcW w:type="dxa" w:w="1568"/>
          </w:tcPr>
          <w:p>
            <w:pPr>
              <w:spacing w:after="0"/>
              <w:jc w:val="right"/>
            </w:pPr>
            <w:r/>
            <w:r>
              <w:rPr>
                <w:sz w:val="16"/>
              </w:rPr>
              <w:t>0.73</w:t>
            </w:r>
          </w:p>
        </w:tc>
        <w:tc>
          <w:tcPr>
            <w:tcW w:type="dxa" w:w="1568"/>
          </w:tcPr>
          <w:p>
            <w:pPr>
              <w:spacing w:after="0"/>
              <w:jc w:val="right"/>
            </w:pPr>
            <w:r/>
            <w:r>
              <w:rPr>
                <w:sz w:val="16"/>
              </w:rPr>
              <w:t>-3.3</w:t>
            </w:r>
          </w:p>
        </w:tc>
      </w:tr>
      <w:tr>
        <w:tc>
          <w:tcPr>
            <w:tcW w:type="dxa" w:w="3377"/>
          </w:tcPr>
          <w:p>
            <w:pPr>
              <w:spacing w:after="0"/>
              <w:jc w:val="left"/>
            </w:pPr>
            <w:r/>
            <w:r>
              <w:rPr>
                <w:sz w:val="16"/>
              </w:rPr>
              <w:t>Food-at-home inflation</w:t>
            </w:r>
          </w:p>
        </w:tc>
        <w:tc>
          <w:tcPr>
            <w:tcW w:type="dxa" w:w="1568"/>
          </w:tcPr>
          <w:p>
            <w:pPr>
              <w:spacing w:after="0"/>
              <w:jc w:val="right"/>
            </w:pPr>
            <w:r/>
            <w:r>
              <w:rPr>
                <w:sz w:val="16"/>
              </w:rPr>
              <w:t>-1.55</w:t>
            </w:r>
          </w:p>
        </w:tc>
        <w:tc>
          <w:tcPr>
            <w:tcW w:type="dxa" w:w="1568"/>
          </w:tcPr>
          <w:p>
            <w:pPr>
              <w:spacing w:after="0"/>
              <w:jc w:val="right"/>
            </w:pPr>
            <w:r/>
            <w:r>
              <w:rPr>
                <w:sz w:val="16"/>
              </w:rPr>
              <w:t>0.001</w:t>
            </w:r>
          </w:p>
        </w:tc>
        <w:tc>
          <w:tcPr>
            <w:tcW w:type="dxa" w:w="1568"/>
          </w:tcPr>
          <w:p>
            <w:pPr>
              <w:spacing w:after="0"/>
              <w:jc w:val="right"/>
            </w:pPr>
            <w:r/>
            <w:r>
              <w:rPr>
                <w:sz w:val="16"/>
              </w:rPr>
              <w:t>1.40</w:t>
            </w:r>
          </w:p>
        </w:tc>
        <w:tc>
          <w:tcPr>
            <w:tcW w:type="dxa" w:w="1568"/>
          </w:tcPr>
          <w:p>
            <w:pPr>
              <w:spacing w:after="0"/>
              <w:jc w:val="right"/>
            </w:pPr>
            <w:r/>
            <w:r>
              <w:rPr>
                <w:sz w:val="16"/>
              </w:rPr>
              <w:t>-2.2</w:t>
            </w:r>
          </w:p>
        </w:tc>
      </w:tr>
      <w:tr>
        <w:tc>
          <w:tcPr>
            <w:tcW w:type="dxa" w:w="3377"/>
          </w:tcPr>
          <w:p>
            <w:pPr>
              <w:spacing w:after="0"/>
              <w:jc w:val="left"/>
            </w:pPr>
            <w:r/>
            <w:r>
              <w:rPr>
                <w:sz w:val="16"/>
              </w:rPr>
              <w:t>Real gasoline price y/y</w:t>
            </w:r>
          </w:p>
        </w:tc>
        <w:tc>
          <w:tcPr>
            <w:tcW w:type="dxa" w:w="1568"/>
          </w:tcPr>
          <w:p>
            <w:pPr>
              <w:spacing w:after="0"/>
              <w:jc w:val="right"/>
            </w:pPr>
            <w:r/>
            <w:r>
              <w:rPr>
                <w:sz w:val="16"/>
              </w:rPr>
              <w:t>-0.09</w:t>
            </w:r>
          </w:p>
        </w:tc>
        <w:tc>
          <w:tcPr>
            <w:tcW w:type="dxa" w:w="1568"/>
          </w:tcPr>
          <w:p>
            <w:pPr>
              <w:spacing w:after="0"/>
              <w:jc w:val="right"/>
            </w:pPr>
            <w:r/>
            <w:r>
              <w:rPr>
                <w:sz w:val="16"/>
              </w:rPr>
              <w:t>0.045</w:t>
            </w:r>
          </w:p>
        </w:tc>
        <w:tc>
          <w:tcPr>
            <w:tcW w:type="dxa" w:w="1568"/>
          </w:tcPr>
          <w:p>
            <w:pPr>
              <w:spacing w:after="0"/>
              <w:jc w:val="right"/>
            </w:pPr>
            <w:r/>
            <w:r>
              <w:rPr>
                <w:sz w:val="16"/>
              </w:rPr>
              <w:t>9.35</w:t>
            </w:r>
          </w:p>
        </w:tc>
        <w:tc>
          <w:tcPr>
            <w:tcW w:type="dxa" w:w="1568"/>
          </w:tcPr>
          <w:p>
            <w:pPr>
              <w:spacing w:after="0"/>
              <w:jc w:val="right"/>
            </w:pPr>
            <w:r/>
            <w:r>
              <w:rPr>
                <w:sz w:val="16"/>
              </w:rPr>
              <w:t>-0.9</w:t>
            </w:r>
          </w:p>
        </w:tc>
      </w:tr>
      <w:tr>
        <w:tc>
          <w:tcPr>
            <w:tcW w:type="dxa" w:w="3377"/>
          </w:tcPr>
          <w:p>
            <w:pPr>
              <w:spacing w:after="0"/>
              <w:jc w:val="left"/>
            </w:pPr>
            <w:r/>
            <w:r>
              <w:rPr>
                <w:sz w:val="16"/>
              </w:rPr>
              <w:t>Policy uncertainty (news-based EPU)</w:t>
            </w:r>
          </w:p>
        </w:tc>
        <w:tc>
          <w:tcPr>
            <w:tcW w:type="dxa" w:w="1568"/>
          </w:tcPr>
          <w:p>
            <w:pPr>
              <w:spacing w:after="0"/>
              <w:jc w:val="right"/>
            </w:pPr>
            <w:r/>
            <w:r>
              <w:rPr>
                <w:sz w:val="16"/>
              </w:rPr>
              <w:t>-0.04</w:t>
            </w:r>
          </w:p>
        </w:tc>
        <w:tc>
          <w:tcPr>
            <w:tcW w:type="dxa" w:w="1568"/>
          </w:tcPr>
          <w:p>
            <w:pPr>
              <w:spacing w:after="0"/>
              <w:jc w:val="right"/>
            </w:pPr>
            <w:r/>
            <w:r>
              <w:rPr>
                <w:sz w:val="16"/>
              </w:rPr>
              <w:t>0.000</w:t>
            </w:r>
          </w:p>
        </w:tc>
        <w:tc>
          <w:tcPr>
            <w:tcW w:type="dxa" w:w="1568"/>
          </w:tcPr>
          <w:p>
            <w:pPr>
              <w:spacing w:after="0"/>
              <w:jc w:val="right"/>
            </w:pPr>
            <w:r/>
            <w:r>
              <w:rPr>
                <w:sz w:val="16"/>
              </w:rPr>
              <w:t>151.10</w:t>
            </w:r>
          </w:p>
        </w:tc>
        <w:tc>
          <w:tcPr>
            <w:tcW w:type="dxa" w:w="1568"/>
          </w:tcPr>
          <w:p>
            <w:pPr>
              <w:spacing w:after="0"/>
              <w:jc w:val="right"/>
            </w:pPr>
            <w:r/>
            <w:r>
              <w:rPr>
                <w:sz w:val="16"/>
              </w:rPr>
              <w:t>-6.1</w:t>
            </w:r>
          </w:p>
        </w:tc>
      </w:tr>
      <w:tr>
        <w:tc>
          <w:tcPr>
            <w:tcW w:type="dxa" w:w="3377"/>
          </w:tcPr>
          <w:p>
            <w:pPr>
              <w:spacing w:after="0"/>
              <w:jc w:val="left"/>
            </w:pPr>
            <w:r/>
            <w:r>
              <w:rPr>
                <w:sz w:val="16"/>
              </w:rPr>
              <w:t>TOTAL predicted</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-20.0</w:t>
            </w:r>
          </w:p>
        </w:tc>
      </w:tr>
      <w:tr>
        <w:tc>
          <w:tcPr>
            <w:tcW w:type="dxa" w:w="3377"/>
          </w:tcPr>
          <w:p>
            <w:pPr>
              <w:spacing w:after="0"/>
              <w:jc w:val="left"/>
            </w:pPr>
            <w:r/>
            <w:r>
              <w:rPr>
                <w:sz w:val="16"/>
              </w:rPr>
              <w:t>Web-mode offset (UMich)</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-6.6</w:t>
            </w:r>
          </w:p>
        </w:tc>
      </w:tr>
      <w:tr>
        <w:tc>
          <w:tcPr>
            <w:tcW w:type="dxa" w:w="3377"/>
          </w:tcPr>
          <w:p>
            <w:pPr>
              <w:spacing w:after="0"/>
              <w:jc w:val="left"/>
            </w:pPr>
            <w:r/>
            <w:r>
              <w:rPr>
                <w:sz w:val="16"/>
              </w:rPr>
              <w:t>ACTUAL change</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-41.3</w:t>
            </w:r>
          </w:p>
        </w:tc>
      </w:tr>
      <w:tr>
        <w:tc>
          <w:tcPr>
            <w:tcW w:type="dxa" w:w="3377"/>
          </w:tcPr>
          <w:p>
            <w:pPr>
              <w:spacing w:after="0"/>
              <w:jc w:val="left"/>
            </w:pPr>
            <w:r/>
            <w:r>
              <w:rPr>
                <w:sz w:val="16"/>
              </w:rPr>
              <w:t>Unexplained residual</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w:t>
            </w:r>
          </w:p>
        </w:tc>
        <w:tc>
          <w:tcPr>
            <w:tcW w:type="dxa" w:w="1568"/>
          </w:tcPr>
          <w:p>
            <w:pPr>
              <w:spacing w:after="0"/>
              <w:jc w:val="right"/>
            </w:pPr>
            <w:r/>
            <w:r>
              <w:rPr>
                <w:sz w:val="16"/>
              </w:rPr>
              <w:t>-14.7</w:t>
            </w:r>
          </w:p>
        </w:tc>
      </w:tr>
    </w:tbl>
    <w:p>
      <w:pPr>
        <w:spacing w:after="120"/>
      </w:pPr>
      <w:r>
        <w:rPr>
          <w:b w:val="0"/>
          <w:i/>
          <w:color w:val="4A5260"/>
          <w:sz w:val="16"/>
        </w:rPr>
        <w:t>M1H2 explains -20.0 of -41.3 points; with the mode offset, -26.6. The out-of-sample 2025–26 gap shrinks from −31.6 (M1) to about −12 (M1H2). Coefficients are associational; EPU is itself built from newspaper text, so its contribution sits between E1 (real policy shocks — tariffs, shutdown) and E2 (coverage).</w:t>
      </w:r>
    </w:p>
    <w:p>
      <w:pPr>
        <w:jc w:val="both"/>
      </w:pPr>
      <w:r>
        <w:rPr>
          <w:b/>
          <w:i w:val="0"/>
        </w:rPr>
        <w:t>Why falling inflation need not reverse concern about prices.</w:t>
      </w:r>
      <w:r>
        <w:rPr>
          <w:b w:val="0"/>
          <w:i w:val="0"/>
        </w:rPr>
        <w:t xml:space="preserve"> Inflation measures the </w:t>
      </w:r>
      <w:r>
        <w:rPr>
          <w:b w:val="0"/>
          <w:i/>
        </w:rPr>
        <w:t>rate</w:t>
      </w:r>
      <w:r>
        <w:rPr>
          <w:b w:val="0"/>
          <w:i w:val="0"/>
        </w:rPr>
        <w:t xml:space="preserve">; households experience the </w:t>
      </w:r>
      <w:r>
        <w:rPr>
          <w:b w:val="0"/>
          <w:i/>
        </w:rPr>
        <w:t>level</w:t>
      </w:r>
      <w:r>
        <w:rPr>
          <w:b w:val="0"/>
          <w:i w:val="0"/>
        </w:rPr>
        <w:t xml:space="preserve">. The PCE price level rose 24% between January 2021 and August 2026, against 12% on a 2%-a-year path — prices are roughly 11% higher than the pre-2021 norm would imply and do not come back down when inflation falls. Michigan respondents say so: the share reporting they are worse off </w:t>
      </w:r>
      <w:r>
        <w:rPr>
          <w:b w:val="0"/>
          <w:i/>
        </w:rPr>
        <w:t>because of higher prices</w:t>
      </w:r>
      <w:r>
        <w:rPr>
          <w:b w:val="0"/>
          <w:i w:val="0"/>
        </w:rPr>
        <w:t xml:space="preserve"> rose from 7% in 2019 to 45% in 2025–26 — </w:t>
      </w:r>
      <w:r>
        <w:rPr>
          <w:b w:val="0"/>
          <w:i/>
        </w:rPr>
        <w:t>above</w:t>
      </w:r>
      <w:r>
        <w:rPr>
          <w:b w:val="0"/>
          <w:i w:val="0"/>
        </w:rPr>
        <w:t xml:space="preserve"> its 2022 inflation-peak level (40%). Buying conditions for durables (−81 points), vehicles (−81) and homes (−97) collapsed, with 'interest rates high' as a reason for homes up 36 pp: the cost of money is part of the perceived cost of living (Bolhuis, Cramer, Schulz &amp; Summers, 2024). Wage growth that has caught up with prices does not erase the memory of the reference price (anchoring) — a mechanism we can proxy but not isolate.</w:t>
      </w:r>
    </w:p>
    <w:p>
      <w:pPr>
        <w:jc w:val="both"/>
      </w:pPr>
      <w:r>
        <w:rPr>
          <w:b/>
          <w:i w:val="0"/>
        </w:rPr>
        <w:t>A first-principles check: how long do consumers remember inflation?</w:t>
      </w:r>
      <w:r>
        <w:rPr>
          <w:b w:val="0"/>
          <w:i w:val="0"/>
        </w:rPr>
        <w:t xml:space="preserve"> We replaced current inflation with an exponentially weighted memory of past monthly inflation and estimated its half-life from 1978–2019 alone. History says memory is short (half-life ≈ 3 months), and the memory model leaves the 2025–26 gap unchanged (-31.3 vs -31.6). So today's level-anchored behaviour is </w:t>
      </w:r>
      <w:r>
        <w:rPr>
          <w:b/>
          <w:i w:val="0"/>
        </w:rPr>
        <w:t>not</w:t>
      </w:r>
      <w:r>
        <w:rPr>
          <w:b w:val="0"/>
          <w:i w:val="0"/>
        </w:rPr>
        <w:t xml:space="preserve"> how consumers reacted in the past four decades: the 2021–22 shock pushed households outside the range the models were trained on (explanation E3 — a regime break), and 'worse off because of higher prices' now exceeds its 2022 peak. The gap is a measurement and modelling failure as much as a perception problem.</w:t>
      </w:r>
    </w:p>
    <w:p>
      <w:pPr>
        <w:jc w:val="center"/>
      </w:pPr>
      <w:r>
        <w:drawing>
          <wp:inline xmlns:a="http://schemas.openxmlformats.org/drawingml/2006/main" xmlns:pic="http://schemas.openxmlformats.org/drawingml/2006/picture">
            <wp:extent cx="4937760" cy="1851660"/>
            <wp:docPr id="2" name="Picture 2"/>
            <wp:cNvGraphicFramePr>
              <a:graphicFrameLocks noChangeAspect="1"/>
            </wp:cNvGraphicFramePr>
            <a:graphic>
              <a:graphicData uri="http://schemas.openxmlformats.org/drawingml/2006/picture">
                <pic:pic>
                  <pic:nvPicPr>
                    <pic:cNvPr id="0" name="fig_level_vs_rate.png"/>
                    <pic:cNvPicPr/>
                  </pic:nvPicPr>
                  <pic:blipFill>
                    <a:blip r:embed="rId11"/>
                    <a:stretch>
                      <a:fillRect/>
                    </a:stretch>
                  </pic:blipFill>
                  <pic:spPr>
                    <a:xfrm>
                      <a:off x="0" y="0"/>
                      <a:ext cx="4937760" cy="1851660"/>
                    </a:xfrm>
                    <a:prstGeom prst="rect"/>
                  </pic:spPr>
                </pic:pic>
              </a:graphicData>
            </a:graphic>
          </wp:inline>
        </w:drawing>
      </w:r>
    </w:p>
    <w:p>
      <w:pPr>
        <w:spacing w:after="120"/>
      </w:pPr>
      <w:r>
        <w:rPr>
          <w:b w:val="0"/>
          <w:i/>
          <w:color w:val="4A5260"/>
          <w:sz w:val="17"/>
        </w:rPr>
        <w:t>Figure 2. Price complaints stayed high after inflation fell. Michigan: % worse off citing higher prices; % saying it is a bad time to buy durables because of prices or interest rates; PCE inflation (dashed, right axis).</w:t>
      </w:r>
    </w:p>
    <w:p>
      <w:pPr>
        <w:jc w:val="both"/>
      </w:pPr>
      <w:r>
        <w:rPr>
          <w:b/>
          <w:i w:val="0"/>
        </w:rPr>
        <w:t>Is the CPI wrong? No — it answers a narrower question.</w:t>
      </w:r>
      <w:r>
        <w:rPr>
          <w:b w:val="0"/>
          <w:i w:val="0"/>
        </w:rPr>
        <w:t xml:space="preserve"> The BLS prices a fixed basket (~80,000 prices a month), weights items by </w:t>
      </w:r>
      <w:r>
        <w:rPr>
          <w:b w:val="0"/>
          <w:i/>
        </w:rPr>
        <w:t>dollars</w:t>
      </w:r>
      <w:r>
        <w:rPr>
          <w:b w:val="0"/>
          <w:i w:val="0"/>
        </w:rPr>
        <w:t xml:space="preserve"> spent (so higher-spending households weigh more), measures owner housing as an imputed rent that lags market rents by about a year, adjusts for quality, and — since 1983 — excludes interest costs. Its known biases (Boskin Commission, 1996) ran </w:t>
      </w:r>
      <w:r>
        <w:rPr>
          <w:b w:val="0"/>
          <w:i/>
        </w:rPr>
        <w:t>upward</w:t>
      </w:r>
      <w:r>
        <w:rPr>
          <w:b w:val="0"/>
          <w:i w:val="0"/>
        </w:rPr>
        <w:t xml:space="preserve"> and were largely corrected. So official inflation does not hide price growth; it measures the </w:t>
      </w:r>
      <w:r>
        <w:rPr>
          <w:b w:val="0"/>
          <w:i/>
        </w:rPr>
        <w:t>rate</w:t>
      </w:r>
      <w:r>
        <w:rPr>
          <w:b w:val="0"/>
          <w:i w:val="0"/>
        </w:rPr>
        <w:t xml:space="preserve"> for an </w:t>
      </w:r>
      <w:r>
        <w:rPr>
          <w:b w:val="0"/>
          <w:i/>
        </w:rPr>
        <w:t>average</w:t>
      </w:r>
      <w:r>
        <w:rPr>
          <w:b w:val="0"/>
          <w:i w:val="0"/>
        </w:rPr>
        <w:t xml:space="preserve"> basket, while households feel the </w:t>
      </w:r>
      <w:r>
        <w:rPr>
          <w:b w:val="0"/>
          <w:i/>
        </w:rPr>
        <w:t>level</w:t>
      </w:r>
      <w:r>
        <w:rPr>
          <w:b w:val="0"/>
          <w:i w:val="0"/>
        </w:rPr>
        <w:t>, their own basket and borrowing costs. From January 2021 to September 2026 headline CPI rose 28%, shelter 31%, groceries 27% and gasoline 68% (from a pandemic low), while average hourly earnings rose 26% — real wages are still slightly below their January-2021 level (a level that was flattered by low-wage job losses).</w:t>
      </w:r>
    </w:p>
    <w:p>
      <w:pPr>
        <w:jc w:val="both"/>
      </w:pPr>
      <w:r>
        <w:rPr>
          <w:b/>
          <w:i w:val="0"/>
        </w:rPr>
        <w:t>Why aggregate growth can differ from household experience.</w:t>
      </w:r>
      <w:r>
        <w:rPr>
          <w:b w:val="0"/>
          <w:i w:val="0"/>
        </w:rPr>
        <w:t xml:space="preserve"> GDP and payroll growth are averages; household finances depend on the distribution of real income, on borrowing costs and on prices of necessities. Expected real income (income vs prices) fell 45 points; the Current Conditions index carries a larger gap than Expectations (Table 1: ICC gap −43.7 vs ICE −25.8 in 2026), consistent with present-day affordability rather than a general forecast of collapse.</w:t>
      </w:r>
    </w:p>
    <w:p>
      <w:pPr>
        <w:pStyle w:val="Heading1"/>
      </w:pPr>
      <w:r>
        <w:t>4. Who is pessimistic, and which hardships do they report? (age and income)</w:t>
      </w:r>
    </w:p>
    <w:p>
      <w:pPr>
        <w:spacing w:after="40"/>
      </w:pPr>
      <w:r>
        <w:rPr>
          <w:b/>
          <w:i w:val="0"/>
          <w:sz w:val="19"/>
        </w:rPr>
        <w:t>Table 3. Concentration of the decline by age and income tercile (monthly sub-indices).</w:t>
      </w:r>
    </w:p>
    <w:tbl>
      <w:tblPr>
        <w:tblStyle w:val="TableGrid"/>
        <w:tblW w:type="auto" w:w="0"/>
        <w:jc w:val="center"/>
        <w:tblLayout w:type="fixed"/>
        <w:tblLook w:firstColumn="1" w:firstRow="1" w:lastColumn="0" w:lastRow="0" w:noHBand="0" w:noVBand="1" w:val="04A0"/>
      </w:tblPr>
      <w:tblGrid>
        <w:gridCol w:w="3377"/>
        <w:gridCol w:w="896"/>
        <w:gridCol w:w="896"/>
        <w:gridCol w:w="896"/>
        <w:gridCol w:w="896"/>
        <w:gridCol w:w="896"/>
        <w:gridCol w:w="896"/>
        <w:gridCol w:w="896"/>
      </w:tblGrid>
      <w:tr>
        <w:tc>
          <w:tcPr>
            <w:tcW w:type="dxa" w:w="3377"/>
            <w:shd w:val="clear" w:color="auto" w:fill="E8EDF4"/>
          </w:tcPr>
          <w:p>
            <w:pPr>
              <w:spacing w:after="0"/>
            </w:pPr>
            <w:r/>
            <w:r>
              <w:rPr>
                <w:b/>
                <w:sz w:val="16"/>
              </w:rPr>
              <w:t>Group</w:t>
            </w:r>
          </w:p>
        </w:tc>
        <w:tc>
          <w:tcPr>
            <w:tcW w:type="dxa" w:w="896"/>
            <w:shd w:val="clear" w:color="auto" w:fill="E8EDF4"/>
          </w:tcPr>
          <w:p>
            <w:pPr>
              <w:spacing w:after="0"/>
            </w:pPr>
            <w:r/>
            <w:r>
              <w:rPr>
                <w:b/>
                <w:sz w:val="16"/>
              </w:rPr>
              <w:t>ICS 2019</w:t>
            </w:r>
          </w:p>
        </w:tc>
        <w:tc>
          <w:tcPr>
            <w:tcW w:type="dxa" w:w="896"/>
            <w:shd w:val="clear" w:color="auto" w:fill="E8EDF4"/>
          </w:tcPr>
          <w:p>
            <w:pPr>
              <w:spacing w:after="0"/>
            </w:pPr>
            <w:r/>
            <w:r>
              <w:rPr>
                <w:b/>
                <w:sz w:val="16"/>
              </w:rPr>
              <w:t>ICS 2025–26</w:t>
            </w:r>
          </w:p>
        </w:tc>
        <w:tc>
          <w:tcPr>
            <w:tcW w:type="dxa" w:w="896"/>
            <w:shd w:val="clear" w:color="auto" w:fill="E8EDF4"/>
          </w:tcPr>
          <w:p>
            <w:pPr>
              <w:spacing w:after="0"/>
            </w:pPr>
            <w:r/>
            <w:r>
              <w:rPr>
                <w:b/>
                <w:sz w:val="16"/>
              </w:rPr>
              <w:t>Change</w:t>
            </w:r>
          </w:p>
        </w:tc>
        <w:tc>
          <w:tcPr>
            <w:tcW w:type="dxa" w:w="896"/>
            <w:shd w:val="clear" w:color="auto" w:fill="E8EDF4"/>
          </w:tcPr>
          <w:p>
            <w:pPr>
              <w:spacing w:after="0"/>
            </w:pPr>
            <w:r/>
            <w:r>
              <w:rPr>
                <w:b/>
                <w:sz w:val="16"/>
              </w:rPr>
              <w:t>% change</w:t>
            </w:r>
          </w:p>
        </w:tc>
        <w:tc>
          <w:tcPr>
            <w:tcW w:type="dxa" w:w="896"/>
            <w:shd w:val="clear" w:color="auto" w:fill="E8EDF4"/>
          </w:tcPr>
          <w:p>
            <w:pPr>
              <w:spacing w:after="0"/>
            </w:pPr>
            <w:r/>
            <w:r>
              <w:rPr>
                <w:b/>
                <w:sz w:val="16"/>
              </w:rPr>
              <w:t>Weight</w:t>
            </w:r>
          </w:p>
        </w:tc>
        <w:tc>
          <w:tcPr>
            <w:tcW w:type="dxa" w:w="896"/>
            <w:shd w:val="clear" w:color="auto" w:fill="E8EDF4"/>
          </w:tcPr>
          <w:p>
            <w:pPr>
              <w:spacing w:after="0"/>
            </w:pPr>
            <w:r/>
            <w:r>
              <w:rPr>
                <w:b/>
                <w:sz w:val="16"/>
              </w:rPr>
              <w:t>Contribution</w:t>
            </w:r>
          </w:p>
        </w:tc>
        <w:tc>
          <w:tcPr>
            <w:tcW w:type="dxa" w:w="896"/>
            <w:shd w:val="clear" w:color="auto" w:fill="E8EDF4"/>
          </w:tcPr>
          <w:p>
            <w:pPr>
              <w:spacing w:after="0"/>
            </w:pPr>
            <w:r/>
            <w:r>
              <w:rPr>
                <w:b/>
                <w:sz w:val="16"/>
              </w:rPr>
              <w:t>Share of decline</w:t>
            </w:r>
          </w:p>
        </w:tc>
      </w:tr>
      <w:tr>
        <w:tc>
          <w:tcPr>
            <w:tcW w:type="dxa" w:w="3377"/>
          </w:tcPr>
          <w:p>
            <w:pPr>
              <w:spacing w:after="0"/>
              <w:jc w:val="left"/>
            </w:pPr>
            <w:r/>
            <w:r>
              <w:rPr>
                <w:sz w:val="16"/>
              </w:rPr>
              <w:t>18–34</w:t>
            </w:r>
          </w:p>
        </w:tc>
        <w:tc>
          <w:tcPr>
            <w:tcW w:type="dxa" w:w="896"/>
          </w:tcPr>
          <w:p>
            <w:pPr>
              <w:spacing w:after="0"/>
              <w:jc w:val="right"/>
            </w:pPr>
            <w:r/>
            <w:r>
              <w:rPr>
                <w:sz w:val="16"/>
              </w:rPr>
              <w:t>101.2</w:t>
            </w:r>
          </w:p>
        </w:tc>
        <w:tc>
          <w:tcPr>
            <w:tcW w:type="dxa" w:w="896"/>
          </w:tcPr>
          <w:p>
            <w:pPr>
              <w:spacing w:after="0"/>
              <w:jc w:val="right"/>
            </w:pPr>
            <w:r/>
            <w:r>
              <w:rPr>
                <w:sz w:val="16"/>
              </w:rPr>
              <w:t>53.8</w:t>
            </w:r>
          </w:p>
        </w:tc>
        <w:tc>
          <w:tcPr>
            <w:tcW w:type="dxa" w:w="896"/>
          </w:tcPr>
          <w:p>
            <w:pPr>
              <w:spacing w:after="0"/>
              <w:jc w:val="right"/>
            </w:pPr>
            <w:r/>
            <w:r>
              <w:rPr>
                <w:sz w:val="16"/>
              </w:rPr>
              <w:t>-47.4</w:t>
            </w:r>
          </w:p>
        </w:tc>
        <w:tc>
          <w:tcPr>
            <w:tcW w:type="dxa" w:w="896"/>
          </w:tcPr>
          <w:p>
            <w:pPr>
              <w:spacing w:after="0"/>
              <w:jc w:val="right"/>
            </w:pPr>
            <w:r/>
            <w:r>
              <w:rPr>
                <w:sz w:val="16"/>
              </w:rPr>
              <w:t>-47%</w:t>
            </w:r>
          </w:p>
        </w:tc>
        <w:tc>
          <w:tcPr>
            <w:tcW w:type="dxa" w:w="896"/>
          </w:tcPr>
          <w:p>
            <w:pPr>
              <w:spacing w:after="0"/>
              <w:jc w:val="right"/>
            </w:pPr>
            <w:r/>
            <w:r>
              <w:rPr>
                <w:sz w:val="16"/>
              </w:rPr>
              <w:t>0.22</w:t>
            </w:r>
          </w:p>
        </w:tc>
        <w:tc>
          <w:tcPr>
            <w:tcW w:type="dxa" w:w="896"/>
          </w:tcPr>
          <w:p>
            <w:pPr>
              <w:spacing w:after="0"/>
              <w:jc w:val="right"/>
            </w:pPr>
            <w:r/>
            <w:r>
              <w:rPr>
                <w:sz w:val="16"/>
              </w:rPr>
              <w:t>-10.4</w:t>
            </w:r>
          </w:p>
        </w:tc>
        <w:tc>
          <w:tcPr>
            <w:tcW w:type="dxa" w:w="896"/>
          </w:tcPr>
          <w:p>
            <w:pPr>
              <w:spacing w:after="0"/>
              <w:jc w:val="right"/>
            </w:pPr>
            <w:r/>
            <w:r>
              <w:rPr>
                <w:sz w:val="16"/>
              </w:rPr>
              <w:t>25%</w:t>
            </w:r>
          </w:p>
        </w:tc>
      </w:tr>
      <w:tr>
        <w:tc>
          <w:tcPr>
            <w:tcW w:type="dxa" w:w="3377"/>
          </w:tcPr>
          <w:p>
            <w:pPr>
              <w:spacing w:after="0"/>
              <w:jc w:val="left"/>
            </w:pPr>
            <w:r/>
            <w:r>
              <w:rPr>
                <w:sz w:val="16"/>
              </w:rPr>
              <w:t>35–54</w:t>
            </w:r>
          </w:p>
        </w:tc>
        <w:tc>
          <w:tcPr>
            <w:tcW w:type="dxa" w:w="896"/>
          </w:tcPr>
          <w:p>
            <w:pPr>
              <w:spacing w:after="0"/>
              <w:jc w:val="right"/>
            </w:pPr>
            <w:r/>
            <w:r>
              <w:rPr>
                <w:sz w:val="16"/>
              </w:rPr>
              <w:t>96.7</w:t>
            </w:r>
          </w:p>
        </w:tc>
        <w:tc>
          <w:tcPr>
            <w:tcW w:type="dxa" w:w="896"/>
          </w:tcPr>
          <w:p>
            <w:pPr>
              <w:spacing w:after="0"/>
              <w:jc w:val="right"/>
            </w:pPr>
            <w:r/>
            <w:r>
              <w:rPr>
                <w:sz w:val="16"/>
              </w:rPr>
              <w:t>52.9</w:t>
            </w:r>
          </w:p>
        </w:tc>
        <w:tc>
          <w:tcPr>
            <w:tcW w:type="dxa" w:w="896"/>
          </w:tcPr>
          <w:p>
            <w:pPr>
              <w:spacing w:after="0"/>
              <w:jc w:val="right"/>
            </w:pPr>
            <w:r/>
            <w:r>
              <w:rPr>
                <w:sz w:val="16"/>
              </w:rPr>
              <w:t>-43.8</w:t>
            </w:r>
          </w:p>
        </w:tc>
        <w:tc>
          <w:tcPr>
            <w:tcW w:type="dxa" w:w="896"/>
          </w:tcPr>
          <w:p>
            <w:pPr>
              <w:spacing w:after="0"/>
              <w:jc w:val="right"/>
            </w:pPr>
            <w:r/>
            <w:r>
              <w:rPr>
                <w:sz w:val="16"/>
              </w:rPr>
              <w:t>-45%</w:t>
            </w:r>
          </w:p>
        </w:tc>
        <w:tc>
          <w:tcPr>
            <w:tcW w:type="dxa" w:w="896"/>
          </w:tcPr>
          <w:p>
            <w:pPr>
              <w:spacing w:after="0"/>
              <w:jc w:val="right"/>
            </w:pPr>
            <w:r/>
            <w:r>
              <w:rPr>
                <w:sz w:val="16"/>
              </w:rPr>
              <w:t>0.34</w:t>
            </w:r>
          </w:p>
        </w:tc>
        <w:tc>
          <w:tcPr>
            <w:tcW w:type="dxa" w:w="896"/>
          </w:tcPr>
          <w:p>
            <w:pPr>
              <w:spacing w:after="0"/>
              <w:jc w:val="right"/>
            </w:pPr>
            <w:r/>
            <w:r>
              <w:rPr>
                <w:sz w:val="16"/>
              </w:rPr>
              <w:t>-15.0</w:t>
            </w:r>
          </w:p>
        </w:tc>
        <w:tc>
          <w:tcPr>
            <w:tcW w:type="dxa" w:w="896"/>
          </w:tcPr>
          <w:p>
            <w:pPr>
              <w:spacing w:after="0"/>
              <w:jc w:val="right"/>
            </w:pPr>
            <w:r/>
            <w:r>
              <w:rPr>
                <w:sz w:val="16"/>
              </w:rPr>
              <w:t>36%</w:t>
            </w:r>
          </w:p>
        </w:tc>
      </w:tr>
      <w:tr>
        <w:tc>
          <w:tcPr>
            <w:tcW w:type="dxa" w:w="3377"/>
          </w:tcPr>
          <w:p>
            <w:pPr>
              <w:spacing w:after="0"/>
              <w:jc w:val="left"/>
            </w:pPr>
            <w:r/>
            <w:r>
              <w:rPr>
                <w:sz w:val="16"/>
              </w:rPr>
              <w:t>55+</w:t>
            </w:r>
          </w:p>
        </w:tc>
        <w:tc>
          <w:tcPr>
            <w:tcW w:type="dxa" w:w="896"/>
          </w:tcPr>
          <w:p>
            <w:pPr>
              <w:spacing w:after="0"/>
              <w:jc w:val="right"/>
            </w:pPr>
            <w:r/>
            <w:r>
              <w:rPr>
                <w:sz w:val="16"/>
              </w:rPr>
              <w:t>93.2</w:t>
            </w:r>
          </w:p>
        </w:tc>
        <w:tc>
          <w:tcPr>
            <w:tcW w:type="dxa" w:w="896"/>
          </w:tcPr>
          <w:p>
            <w:pPr>
              <w:spacing w:after="0"/>
              <w:jc w:val="right"/>
            </w:pPr>
            <w:r/>
            <w:r>
              <w:rPr>
                <w:sz w:val="16"/>
              </w:rPr>
              <w:t>56.3</w:t>
            </w:r>
          </w:p>
        </w:tc>
        <w:tc>
          <w:tcPr>
            <w:tcW w:type="dxa" w:w="896"/>
          </w:tcPr>
          <w:p>
            <w:pPr>
              <w:spacing w:after="0"/>
              <w:jc w:val="right"/>
            </w:pPr>
            <w:r/>
            <w:r>
              <w:rPr>
                <w:sz w:val="16"/>
              </w:rPr>
              <w:t>-37.0</w:t>
            </w:r>
          </w:p>
        </w:tc>
        <w:tc>
          <w:tcPr>
            <w:tcW w:type="dxa" w:w="896"/>
          </w:tcPr>
          <w:p>
            <w:pPr>
              <w:spacing w:after="0"/>
              <w:jc w:val="right"/>
            </w:pPr>
            <w:r/>
            <w:r>
              <w:rPr>
                <w:sz w:val="16"/>
              </w:rPr>
              <w:t>-40%</w:t>
            </w:r>
          </w:p>
        </w:tc>
        <w:tc>
          <w:tcPr>
            <w:tcW w:type="dxa" w:w="896"/>
          </w:tcPr>
          <w:p>
            <w:pPr>
              <w:spacing w:after="0"/>
              <w:jc w:val="right"/>
            </w:pPr>
            <w:r/>
            <w:r>
              <w:rPr>
                <w:sz w:val="16"/>
              </w:rPr>
              <w:t>0.44</w:t>
            </w:r>
          </w:p>
        </w:tc>
        <w:tc>
          <w:tcPr>
            <w:tcW w:type="dxa" w:w="896"/>
          </w:tcPr>
          <w:p>
            <w:pPr>
              <w:spacing w:after="0"/>
              <w:jc w:val="right"/>
            </w:pPr>
            <w:r/>
            <w:r>
              <w:rPr>
                <w:sz w:val="16"/>
              </w:rPr>
              <w:t>-16.2</w:t>
            </w:r>
          </w:p>
        </w:tc>
        <w:tc>
          <w:tcPr>
            <w:tcW w:type="dxa" w:w="896"/>
          </w:tcPr>
          <w:p>
            <w:pPr>
              <w:spacing w:after="0"/>
              <w:jc w:val="right"/>
            </w:pPr>
            <w:r/>
            <w:r>
              <w:rPr>
                <w:sz w:val="16"/>
              </w:rPr>
              <w:t>39%</w:t>
            </w:r>
          </w:p>
        </w:tc>
      </w:tr>
      <w:tr>
        <w:tc>
          <w:tcPr>
            <w:tcW w:type="dxa" w:w="3377"/>
          </w:tcPr>
          <w:p>
            <w:pPr>
              <w:spacing w:after="0"/>
              <w:jc w:val="left"/>
            </w:pPr>
            <w:r/>
            <w:r>
              <w:rPr>
                <w:sz w:val="16"/>
              </w:rPr>
              <w:t>Bottom third</w:t>
            </w:r>
          </w:p>
        </w:tc>
        <w:tc>
          <w:tcPr>
            <w:tcW w:type="dxa" w:w="896"/>
          </w:tcPr>
          <w:p>
            <w:pPr>
              <w:spacing w:after="0"/>
              <w:jc w:val="right"/>
            </w:pPr>
            <w:r/>
            <w:r>
              <w:rPr>
                <w:sz w:val="16"/>
              </w:rPr>
              <w:t>88.7</w:t>
            </w:r>
          </w:p>
        </w:tc>
        <w:tc>
          <w:tcPr>
            <w:tcW w:type="dxa" w:w="896"/>
          </w:tcPr>
          <w:p>
            <w:pPr>
              <w:spacing w:after="0"/>
              <w:jc w:val="right"/>
            </w:pPr>
            <w:r/>
            <w:r>
              <w:rPr>
                <w:sz w:val="16"/>
              </w:rPr>
              <w:t>49.2</w:t>
            </w:r>
          </w:p>
        </w:tc>
        <w:tc>
          <w:tcPr>
            <w:tcW w:type="dxa" w:w="896"/>
          </w:tcPr>
          <w:p>
            <w:pPr>
              <w:spacing w:after="0"/>
              <w:jc w:val="right"/>
            </w:pPr>
            <w:r/>
            <w:r>
              <w:rPr>
                <w:sz w:val="16"/>
              </w:rPr>
              <w:t>-39.5</w:t>
            </w:r>
          </w:p>
        </w:tc>
        <w:tc>
          <w:tcPr>
            <w:tcW w:type="dxa" w:w="896"/>
          </w:tcPr>
          <w:p>
            <w:pPr>
              <w:spacing w:after="0"/>
              <w:jc w:val="right"/>
            </w:pPr>
            <w:r/>
            <w:r>
              <w:rPr>
                <w:sz w:val="16"/>
              </w:rPr>
              <w:t>-45%</w:t>
            </w:r>
          </w:p>
        </w:tc>
        <w:tc>
          <w:tcPr>
            <w:tcW w:type="dxa" w:w="896"/>
          </w:tcPr>
          <w:p>
            <w:pPr>
              <w:spacing w:after="0"/>
              <w:jc w:val="right"/>
            </w:pPr>
            <w:r/>
            <w:r>
              <w:rPr>
                <w:sz w:val="16"/>
              </w:rPr>
              <w:t>0.34</w:t>
            </w:r>
          </w:p>
        </w:tc>
        <w:tc>
          <w:tcPr>
            <w:tcW w:type="dxa" w:w="896"/>
          </w:tcPr>
          <w:p>
            <w:pPr>
              <w:spacing w:after="0"/>
              <w:jc w:val="right"/>
            </w:pPr>
            <w:r/>
            <w:r>
              <w:rPr>
                <w:sz w:val="16"/>
              </w:rPr>
              <w:t>-13.4</w:t>
            </w:r>
          </w:p>
        </w:tc>
        <w:tc>
          <w:tcPr>
            <w:tcW w:type="dxa" w:w="896"/>
          </w:tcPr>
          <w:p>
            <w:pPr>
              <w:spacing w:after="0"/>
              <w:jc w:val="right"/>
            </w:pPr>
            <w:r/>
            <w:r>
              <w:rPr>
                <w:sz w:val="16"/>
              </w:rPr>
              <w:t>33%</w:t>
            </w:r>
          </w:p>
        </w:tc>
      </w:tr>
      <w:tr>
        <w:tc>
          <w:tcPr>
            <w:tcW w:type="dxa" w:w="3377"/>
          </w:tcPr>
          <w:p>
            <w:pPr>
              <w:spacing w:after="0"/>
              <w:jc w:val="left"/>
            </w:pPr>
            <w:r/>
            <w:r>
              <w:rPr>
                <w:sz w:val="16"/>
              </w:rPr>
              <w:t>Middle third</w:t>
            </w:r>
          </w:p>
        </w:tc>
        <w:tc>
          <w:tcPr>
            <w:tcW w:type="dxa" w:w="896"/>
          </w:tcPr>
          <w:p>
            <w:pPr>
              <w:spacing w:after="0"/>
              <w:jc w:val="right"/>
            </w:pPr>
            <w:r/>
            <w:r>
              <w:rPr>
                <w:sz w:val="16"/>
              </w:rPr>
              <w:t>98.7</w:t>
            </w:r>
          </w:p>
        </w:tc>
        <w:tc>
          <w:tcPr>
            <w:tcW w:type="dxa" w:w="896"/>
          </w:tcPr>
          <w:p>
            <w:pPr>
              <w:spacing w:after="0"/>
              <w:jc w:val="right"/>
            </w:pPr>
            <w:r/>
            <w:r>
              <w:rPr>
                <w:sz w:val="16"/>
              </w:rPr>
              <w:t>55.2</w:t>
            </w:r>
          </w:p>
        </w:tc>
        <w:tc>
          <w:tcPr>
            <w:tcW w:type="dxa" w:w="896"/>
          </w:tcPr>
          <w:p>
            <w:pPr>
              <w:spacing w:after="0"/>
              <w:jc w:val="right"/>
            </w:pPr>
            <w:r/>
            <w:r>
              <w:rPr>
                <w:sz w:val="16"/>
              </w:rPr>
              <w:t>-43.5</w:t>
            </w:r>
          </w:p>
        </w:tc>
        <w:tc>
          <w:tcPr>
            <w:tcW w:type="dxa" w:w="896"/>
          </w:tcPr>
          <w:p>
            <w:pPr>
              <w:spacing w:after="0"/>
              <w:jc w:val="right"/>
            </w:pPr>
            <w:r/>
            <w:r>
              <w:rPr>
                <w:sz w:val="16"/>
              </w:rPr>
              <w:t>-44%</w:t>
            </w:r>
          </w:p>
        </w:tc>
        <w:tc>
          <w:tcPr>
            <w:tcW w:type="dxa" w:w="896"/>
          </w:tcPr>
          <w:p>
            <w:pPr>
              <w:spacing w:after="0"/>
              <w:jc w:val="right"/>
            </w:pPr>
            <w:r/>
            <w:r>
              <w:rPr>
                <w:sz w:val="16"/>
              </w:rPr>
              <w:t>0.34</w:t>
            </w:r>
          </w:p>
        </w:tc>
        <w:tc>
          <w:tcPr>
            <w:tcW w:type="dxa" w:w="896"/>
          </w:tcPr>
          <w:p>
            <w:pPr>
              <w:spacing w:after="0"/>
              <w:jc w:val="right"/>
            </w:pPr>
            <w:r/>
            <w:r>
              <w:rPr>
                <w:sz w:val="16"/>
              </w:rPr>
              <w:t>-14.8</w:t>
            </w:r>
          </w:p>
        </w:tc>
        <w:tc>
          <w:tcPr>
            <w:tcW w:type="dxa" w:w="896"/>
          </w:tcPr>
          <w:p>
            <w:pPr>
              <w:spacing w:after="0"/>
              <w:jc w:val="right"/>
            </w:pPr>
            <w:r/>
            <w:r>
              <w:rPr>
                <w:sz w:val="16"/>
              </w:rPr>
              <w:t>36%</w:t>
            </w:r>
          </w:p>
        </w:tc>
      </w:tr>
      <w:tr>
        <w:tc>
          <w:tcPr>
            <w:tcW w:type="dxa" w:w="3377"/>
          </w:tcPr>
          <w:p>
            <w:pPr>
              <w:spacing w:after="0"/>
              <w:jc w:val="left"/>
            </w:pPr>
            <w:r/>
            <w:r>
              <w:rPr>
                <w:sz w:val="16"/>
              </w:rPr>
              <w:t>Top third</w:t>
            </w:r>
          </w:p>
        </w:tc>
        <w:tc>
          <w:tcPr>
            <w:tcW w:type="dxa" w:w="896"/>
          </w:tcPr>
          <w:p>
            <w:pPr>
              <w:spacing w:after="0"/>
              <w:jc w:val="right"/>
            </w:pPr>
            <w:r/>
            <w:r>
              <w:rPr>
                <w:sz w:val="16"/>
              </w:rPr>
              <w:t>100.8</w:t>
            </w:r>
          </w:p>
        </w:tc>
        <w:tc>
          <w:tcPr>
            <w:tcW w:type="dxa" w:w="896"/>
          </w:tcPr>
          <w:p>
            <w:pPr>
              <w:spacing w:after="0"/>
              <w:jc w:val="right"/>
            </w:pPr>
            <w:r/>
            <w:r>
              <w:rPr>
                <w:sz w:val="16"/>
              </w:rPr>
              <w:t>61.2</w:t>
            </w:r>
          </w:p>
        </w:tc>
        <w:tc>
          <w:tcPr>
            <w:tcW w:type="dxa" w:w="896"/>
          </w:tcPr>
          <w:p>
            <w:pPr>
              <w:spacing w:after="0"/>
              <w:jc w:val="right"/>
            </w:pPr>
            <w:r/>
            <w:r>
              <w:rPr>
                <w:sz w:val="16"/>
              </w:rPr>
              <w:t>-39.6</w:t>
            </w:r>
          </w:p>
        </w:tc>
        <w:tc>
          <w:tcPr>
            <w:tcW w:type="dxa" w:w="896"/>
          </w:tcPr>
          <w:p>
            <w:pPr>
              <w:spacing w:after="0"/>
              <w:jc w:val="right"/>
            </w:pPr>
            <w:r/>
            <w:r>
              <w:rPr>
                <w:sz w:val="16"/>
              </w:rPr>
              <w:t>-39%</w:t>
            </w:r>
          </w:p>
        </w:tc>
        <w:tc>
          <w:tcPr>
            <w:tcW w:type="dxa" w:w="896"/>
          </w:tcPr>
          <w:p>
            <w:pPr>
              <w:spacing w:after="0"/>
              <w:jc w:val="right"/>
            </w:pPr>
            <w:r/>
            <w:r>
              <w:rPr>
                <w:sz w:val="16"/>
              </w:rPr>
              <w:t>0.32</w:t>
            </w:r>
          </w:p>
        </w:tc>
        <w:tc>
          <w:tcPr>
            <w:tcW w:type="dxa" w:w="896"/>
          </w:tcPr>
          <w:p>
            <w:pPr>
              <w:spacing w:after="0"/>
              <w:jc w:val="right"/>
            </w:pPr>
            <w:r/>
            <w:r>
              <w:rPr>
                <w:sz w:val="16"/>
              </w:rPr>
              <w:t>-12.7</w:t>
            </w:r>
          </w:p>
        </w:tc>
        <w:tc>
          <w:tcPr>
            <w:tcW w:type="dxa" w:w="896"/>
          </w:tcPr>
          <w:p>
            <w:pPr>
              <w:spacing w:after="0"/>
              <w:jc w:val="right"/>
            </w:pPr>
            <w:r/>
            <w:r>
              <w:rPr>
                <w:sz w:val="16"/>
              </w:rPr>
              <w:t>31%</w:t>
            </w:r>
          </w:p>
        </w:tc>
      </w:tr>
    </w:tbl>
    <w:p>
      <w:pPr>
        <w:spacing w:after="120"/>
      </w:pPr>
      <w:r>
        <w:rPr>
          <w:b w:val="0"/>
          <w:i/>
          <w:color w:val="4A5260"/>
          <w:sz w:val="16"/>
        </w:rPr>
        <w:t>Weights are implied by constrained least squares of the headline on the three sub-indices (2015–2026). Unweighted respondent counts are not used: the web sample is ~66% aged 55+, which Michigan's weights correct.</w:t>
      </w:r>
    </w:p>
    <w:p>
      <w:pPr>
        <w:jc w:val="both"/>
      </w:pPr>
      <w:r>
        <w:rPr>
          <w:b/>
          <w:i w:val="0"/>
        </w:rPr>
        <w:t>FINDING — the decline is broad-based.</w:t>
      </w:r>
      <w:r>
        <w:rPr>
          <w:b w:val="0"/>
          <w:i w:val="0"/>
        </w:rPr>
        <w:t xml:space="preserve"> Every age group lost 37–47 points and every income tercile 40–43. Young adults (18–34) fell furthest (-47 points, -47%), but because older groups carry more weight, those aged 55+ contribute the most points to the headline (39%) and 18–34 the least (25%). So the answer to 'which age group drives the rating' depends on the question: severity is highest among the young; contribution is largest among older consumers. Geography tells the same story: every Census region fell 36–42 points (39–45%).</w:t>
      </w:r>
    </w:p>
    <w:p>
      <w:pPr>
        <w:jc w:val="both"/>
      </w:pPr>
      <w:r>
        <w:rPr>
          <w:b/>
          <w:i w:val="0"/>
        </w:rPr>
        <w:t>Hardships differ in mix, not in direction.</w:t>
      </w:r>
      <w:r>
        <w:rPr>
          <w:b w:val="0"/>
          <w:i w:val="0"/>
        </w:rPr>
        <w:t xml:space="preserve"> The share citing higher prices as a reason for being worse off rose ~35–40 pp in all three age groups. What is specific to the young is income and housing: 'worse off — lower income' +8 pp (vs +1 for 55+), 'can't afford a home' +7.5 pp (vs +3.1), and higher year-ahead inflation expectations (+2.4 pp). The young also report hearing far more unfavourable economic news (+49 pp vs +35) and rate government economic policy 'poor' more often (+41 pp).</w:t>
      </w:r>
    </w:p>
    <w:p>
      <w:pPr>
        <w:jc w:val="both"/>
      </w:pPr>
      <w:r>
        <w:rPr>
          <w:b/>
          <w:i w:val="0"/>
        </w:rPr>
        <w:t>Is this generation scarred? A test, not an assertion.</w:t>
      </w:r>
      <w:r>
        <w:rPr>
          <w:b w:val="0"/>
          <w:i w:val="0"/>
        </w:rPr>
        <w:t xml:space="preserve"> Economists Malmendier &amp; Nagel show that people form inflation beliefs from the inflation they have </w:t>
      </w:r>
      <w:r>
        <w:rPr>
          <w:b w:val="0"/>
          <w:i/>
        </w:rPr>
        <w:t>lived through</w:t>
      </w:r>
      <w:r>
        <w:rPr>
          <w:b w:val="0"/>
          <w:i w:val="0"/>
        </w:rPr>
        <w:t xml:space="preserve">, weighting recent years more — and the young, with shorter lives, weight recent years most. For each Michigan age group we computed lifetime-experienced CPI inflation (Philadelphia Fed history from 1947; weights ∝ (age − years ago)^1.5) and asked, </w:t>
      </w:r>
      <w:r>
        <w:rPr>
          <w:b w:val="0"/>
          <w:i/>
        </w:rPr>
        <w:t>within the same month</w:t>
      </w:r>
      <w:r>
        <w:rPr>
          <w:b w:val="0"/>
          <w:i w:val="0"/>
        </w:rPr>
        <w:t xml:space="preserve"> (so current inflation and national news are identical for everyone), whether groups with more experienced inflation think and feel differently. They do: one extra point of experienced inflation raises a group's year-ahead inflation expectation by 0.67 pp (p &lt; 0.001) and lowers its sentiment by 10.6 points (p = 0.002), robust to the weighting (θ = 1, 3). The 2021–23 shock raised the young's experienced inflation most, and this alone predicts 8.2 of the 10.4 extra points the 18–34s lost relative to the 55+ (~78%). </w:t>
      </w:r>
      <w:r>
        <w:rPr>
          <w:b/>
          <w:i w:val="0"/>
        </w:rPr>
        <w:t>FINDING:</w:t>
      </w:r>
      <w:r>
        <w:rPr>
          <w:b w:val="0"/>
          <w:i w:val="0"/>
        </w:rPr>
        <w:t xml:space="preserve"> the generational 'scarring' story is supported for inflation — a measurable, rational-learning channel, not a media effect. Caveats: three age groups, 3-month-averaged tables, and group-specific trends are not absorbed by the fixed effects; the test needs full lifetime histories (an earlier version using PCE from 1959 truncated older groups and was discarded).</w:t>
      </w:r>
    </w:p>
    <w:p>
      <w:pPr>
        <w:spacing w:after="40"/>
      </w:pPr>
      <w:r>
        <w:rPr>
          <w:b/>
          <w:i w:val="0"/>
          <w:sz w:val="19"/>
        </w:rPr>
        <w:t>Table 4. Group-level ICS on reported hardships with group and MONTH fixed effects (age groups, 2008–2026).</w:t>
      </w:r>
    </w:p>
    <w:tbl>
      <w:tblPr>
        <w:tblStyle w:val="TableGrid"/>
        <w:tblW w:type="auto" w:w="0"/>
        <w:jc w:val="center"/>
        <w:tblLayout w:type="fixed"/>
        <w:tblLook w:firstColumn="1" w:firstRow="1" w:lastColumn="0" w:lastRow="0" w:noHBand="0" w:noVBand="1" w:val="04A0"/>
      </w:tblPr>
      <w:tblGrid>
        <w:gridCol w:w="3377"/>
        <w:gridCol w:w="2090"/>
        <w:gridCol w:w="2090"/>
        <w:gridCol w:w="2090"/>
      </w:tblGrid>
      <w:tr>
        <w:tc>
          <w:tcPr>
            <w:tcW w:type="dxa" w:w="3377"/>
            <w:shd w:val="clear" w:color="auto" w:fill="E8EDF4"/>
          </w:tcPr>
          <w:p>
            <w:pPr>
              <w:spacing w:after="0"/>
            </w:pPr>
            <w:r/>
            <w:r>
              <w:rPr>
                <w:b/>
                <w:sz w:val="16"/>
              </w:rPr>
              <w:t>Within-month regressor (age groups)</w:t>
            </w:r>
          </w:p>
        </w:tc>
        <w:tc>
          <w:tcPr>
            <w:tcW w:type="dxa" w:w="2090"/>
            <w:shd w:val="clear" w:color="auto" w:fill="E8EDF4"/>
          </w:tcPr>
          <w:p>
            <w:pPr>
              <w:spacing w:after="0"/>
            </w:pPr>
            <w:r/>
            <w:r>
              <w:rPr>
                <w:b/>
                <w:sz w:val="16"/>
              </w:rPr>
              <w:t>Coef</w:t>
            </w:r>
          </w:p>
        </w:tc>
        <w:tc>
          <w:tcPr>
            <w:tcW w:type="dxa" w:w="2090"/>
            <w:shd w:val="clear" w:color="auto" w:fill="E8EDF4"/>
          </w:tcPr>
          <w:p>
            <w:pPr>
              <w:spacing w:after="0"/>
            </w:pPr>
            <w:r/>
            <w:r>
              <w:rPr>
                <w:b/>
                <w:sz w:val="16"/>
              </w:rPr>
              <w:t>Driscoll–Kraay SE</w:t>
            </w:r>
          </w:p>
        </w:tc>
        <w:tc>
          <w:tcPr>
            <w:tcW w:type="dxa" w:w="2090"/>
            <w:shd w:val="clear" w:color="auto" w:fill="E8EDF4"/>
          </w:tcPr>
          <w:p>
            <w:pPr>
              <w:spacing w:after="0"/>
            </w:pPr>
            <w:r/>
            <w:r>
              <w:rPr>
                <w:b/>
                <w:sz w:val="16"/>
              </w:rPr>
              <w:t>p</w:t>
            </w:r>
          </w:p>
        </w:tc>
      </w:tr>
      <w:tr>
        <w:tc>
          <w:tcPr>
            <w:tcW w:type="dxa" w:w="3377"/>
          </w:tcPr>
          <w:p>
            <w:pPr>
              <w:spacing w:after="0"/>
              <w:jc w:val="left"/>
            </w:pPr>
            <w:r/>
            <w:r>
              <w:rPr>
                <w:sz w:val="16"/>
              </w:rPr>
              <w:t>Worse off: higher prices (pp)</w:t>
            </w:r>
          </w:p>
        </w:tc>
        <w:tc>
          <w:tcPr>
            <w:tcW w:type="dxa" w:w="2090"/>
          </w:tcPr>
          <w:p>
            <w:pPr>
              <w:spacing w:after="0"/>
              <w:jc w:val="right"/>
            </w:pPr>
            <w:r/>
            <w:r>
              <w:rPr>
                <w:sz w:val="16"/>
              </w:rPr>
              <w:t>-0.62</w:t>
            </w:r>
          </w:p>
        </w:tc>
        <w:tc>
          <w:tcPr>
            <w:tcW w:type="dxa" w:w="2090"/>
          </w:tcPr>
          <w:p>
            <w:pPr>
              <w:spacing w:after="0"/>
              <w:jc w:val="right"/>
            </w:pPr>
            <w:r/>
            <w:r>
              <w:rPr>
                <w:sz w:val="16"/>
              </w:rPr>
              <w:t>0.07</w:t>
            </w:r>
          </w:p>
        </w:tc>
        <w:tc>
          <w:tcPr>
            <w:tcW w:type="dxa" w:w="2090"/>
          </w:tcPr>
          <w:p>
            <w:pPr>
              <w:spacing w:after="0"/>
              <w:jc w:val="right"/>
            </w:pPr>
            <w:r/>
            <w:r>
              <w:rPr>
                <w:sz w:val="16"/>
              </w:rPr>
              <w:t>0.000</w:t>
            </w:r>
          </w:p>
        </w:tc>
      </w:tr>
      <w:tr>
        <w:tc>
          <w:tcPr>
            <w:tcW w:type="dxa" w:w="3377"/>
          </w:tcPr>
          <w:p>
            <w:pPr>
              <w:spacing w:after="0"/>
              <w:jc w:val="left"/>
            </w:pPr>
            <w:r/>
            <w:r>
              <w:rPr>
                <w:sz w:val="16"/>
              </w:rPr>
              <w:t>Worse off: lower income (pp)</w:t>
            </w:r>
          </w:p>
        </w:tc>
        <w:tc>
          <w:tcPr>
            <w:tcW w:type="dxa" w:w="2090"/>
          </w:tcPr>
          <w:p>
            <w:pPr>
              <w:spacing w:after="0"/>
              <w:jc w:val="right"/>
            </w:pPr>
            <w:r/>
            <w:r>
              <w:rPr>
                <w:sz w:val="16"/>
              </w:rPr>
              <w:t>-0.26</w:t>
            </w:r>
          </w:p>
        </w:tc>
        <w:tc>
          <w:tcPr>
            <w:tcW w:type="dxa" w:w="2090"/>
          </w:tcPr>
          <w:p>
            <w:pPr>
              <w:spacing w:after="0"/>
              <w:jc w:val="right"/>
            </w:pPr>
            <w:r/>
            <w:r>
              <w:rPr>
                <w:sz w:val="16"/>
              </w:rPr>
              <w:t>0.11</w:t>
            </w:r>
          </w:p>
        </w:tc>
        <w:tc>
          <w:tcPr>
            <w:tcW w:type="dxa" w:w="2090"/>
          </w:tcPr>
          <w:p>
            <w:pPr>
              <w:spacing w:after="0"/>
              <w:jc w:val="right"/>
            </w:pPr>
            <w:r/>
            <w:r>
              <w:rPr>
                <w:sz w:val="16"/>
              </w:rPr>
              <w:t>0.019</w:t>
            </w:r>
          </w:p>
        </w:tc>
      </w:tr>
      <w:tr>
        <w:tc>
          <w:tcPr>
            <w:tcW w:type="dxa" w:w="3377"/>
          </w:tcPr>
          <w:p>
            <w:pPr>
              <w:spacing w:after="0"/>
              <w:jc w:val="left"/>
            </w:pPr>
            <w:r/>
            <w:r>
              <w:rPr>
                <w:sz w:val="16"/>
              </w:rPr>
              <w:t>Home: can't afford (pp)</w:t>
            </w:r>
          </w:p>
        </w:tc>
        <w:tc>
          <w:tcPr>
            <w:tcW w:type="dxa" w:w="2090"/>
          </w:tcPr>
          <w:p>
            <w:pPr>
              <w:spacing w:after="0"/>
              <w:jc w:val="right"/>
            </w:pPr>
            <w:r/>
            <w:r>
              <w:rPr>
                <w:sz w:val="16"/>
              </w:rPr>
              <w:t>-0.53</w:t>
            </w:r>
          </w:p>
        </w:tc>
        <w:tc>
          <w:tcPr>
            <w:tcW w:type="dxa" w:w="2090"/>
          </w:tcPr>
          <w:p>
            <w:pPr>
              <w:spacing w:after="0"/>
              <w:jc w:val="right"/>
            </w:pPr>
            <w:r/>
            <w:r>
              <w:rPr>
                <w:sz w:val="16"/>
              </w:rPr>
              <w:t>0.10</w:t>
            </w:r>
          </w:p>
        </w:tc>
        <w:tc>
          <w:tcPr>
            <w:tcW w:type="dxa" w:w="2090"/>
          </w:tcPr>
          <w:p>
            <w:pPr>
              <w:spacing w:after="0"/>
              <w:jc w:val="right"/>
            </w:pPr>
            <w:r/>
            <w:r>
              <w:rPr>
                <w:sz w:val="16"/>
              </w:rPr>
              <w:t>0.000</w:t>
            </w:r>
          </w:p>
        </w:tc>
      </w:tr>
      <w:tr>
        <w:tc>
          <w:tcPr>
            <w:tcW w:type="dxa" w:w="3377"/>
          </w:tcPr>
          <w:p>
            <w:pPr>
              <w:spacing w:after="0"/>
              <w:jc w:val="left"/>
            </w:pPr>
            <w:r/>
            <w:r>
              <w:rPr>
                <w:sz w:val="16"/>
              </w:rPr>
              <w:t>Expected job-loss probability (pp)</w:t>
            </w:r>
          </w:p>
        </w:tc>
        <w:tc>
          <w:tcPr>
            <w:tcW w:type="dxa" w:w="2090"/>
          </w:tcPr>
          <w:p>
            <w:pPr>
              <w:spacing w:after="0"/>
              <w:jc w:val="right"/>
            </w:pPr>
            <w:r/>
            <w:r>
              <w:rPr>
                <w:sz w:val="16"/>
              </w:rPr>
              <w:t>-0.35</w:t>
            </w:r>
          </w:p>
        </w:tc>
        <w:tc>
          <w:tcPr>
            <w:tcW w:type="dxa" w:w="2090"/>
          </w:tcPr>
          <w:p>
            <w:pPr>
              <w:spacing w:after="0"/>
              <w:jc w:val="right"/>
            </w:pPr>
            <w:r/>
            <w:r>
              <w:rPr>
                <w:sz w:val="16"/>
              </w:rPr>
              <w:t>0.13</w:t>
            </w:r>
          </w:p>
        </w:tc>
        <w:tc>
          <w:tcPr>
            <w:tcW w:type="dxa" w:w="2090"/>
          </w:tcPr>
          <w:p>
            <w:pPr>
              <w:spacing w:after="0"/>
              <w:jc w:val="right"/>
            </w:pPr>
            <w:r/>
            <w:r>
              <w:rPr>
                <w:sz w:val="16"/>
              </w:rPr>
              <w:t>0.008</w:t>
            </w:r>
          </w:p>
        </w:tc>
      </w:tr>
      <w:tr>
        <w:tc>
          <w:tcPr>
            <w:tcW w:type="dxa" w:w="3377"/>
          </w:tcPr>
          <w:p>
            <w:pPr>
              <w:spacing w:after="0"/>
              <w:jc w:val="left"/>
            </w:pPr>
            <w:r/>
            <w:r>
              <w:rPr>
                <w:sz w:val="16"/>
              </w:rPr>
              <w:t>Heard bad news: prices (pp)</w:t>
            </w:r>
          </w:p>
        </w:tc>
        <w:tc>
          <w:tcPr>
            <w:tcW w:type="dxa" w:w="2090"/>
          </w:tcPr>
          <w:p>
            <w:pPr>
              <w:spacing w:after="0"/>
              <w:jc w:val="right"/>
            </w:pPr>
            <w:r/>
            <w:r>
              <w:rPr>
                <w:sz w:val="16"/>
              </w:rPr>
              <w:t>-0.37</w:t>
            </w:r>
          </w:p>
        </w:tc>
        <w:tc>
          <w:tcPr>
            <w:tcW w:type="dxa" w:w="2090"/>
          </w:tcPr>
          <w:p>
            <w:pPr>
              <w:spacing w:after="0"/>
              <w:jc w:val="right"/>
            </w:pPr>
            <w:r/>
            <w:r>
              <w:rPr>
                <w:sz w:val="16"/>
              </w:rPr>
              <w:t>0.10</w:t>
            </w:r>
          </w:p>
        </w:tc>
        <w:tc>
          <w:tcPr>
            <w:tcW w:type="dxa" w:w="2090"/>
          </w:tcPr>
          <w:p>
            <w:pPr>
              <w:spacing w:after="0"/>
              <w:jc w:val="right"/>
            </w:pPr>
            <w:r/>
            <w:r>
              <w:rPr>
                <w:sz w:val="16"/>
              </w:rPr>
              <w:t>0.000</w:t>
            </w:r>
          </w:p>
        </w:tc>
      </w:tr>
      <w:tr>
        <w:tc>
          <w:tcPr>
            <w:tcW w:type="dxa" w:w="3377"/>
          </w:tcPr>
          <w:p>
            <w:pPr>
              <w:spacing w:after="0"/>
              <w:jc w:val="left"/>
            </w:pPr>
            <w:r/>
            <w:r>
              <w:rPr>
                <w:sz w:val="16"/>
              </w:rPr>
              <w:t>Heard bad news: jobs (pp)</w:t>
            </w:r>
          </w:p>
        </w:tc>
        <w:tc>
          <w:tcPr>
            <w:tcW w:type="dxa" w:w="2090"/>
          </w:tcPr>
          <w:p>
            <w:pPr>
              <w:spacing w:after="0"/>
              <w:jc w:val="right"/>
            </w:pPr>
            <w:r/>
            <w:r>
              <w:rPr>
                <w:sz w:val="16"/>
              </w:rPr>
              <w:t>-0.24</w:t>
            </w:r>
          </w:p>
        </w:tc>
        <w:tc>
          <w:tcPr>
            <w:tcW w:type="dxa" w:w="2090"/>
          </w:tcPr>
          <w:p>
            <w:pPr>
              <w:spacing w:after="0"/>
              <w:jc w:val="right"/>
            </w:pPr>
            <w:r/>
            <w:r>
              <w:rPr>
                <w:sz w:val="16"/>
              </w:rPr>
              <w:t>0.07</w:t>
            </w:r>
          </w:p>
        </w:tc>
        <w:tc>
          <w:tcPr>
            <w:tcW w:type="dxa" w:w="2090"/>
          </w:tcPr>
          <w:p>
            <w:pPr>
              <w:spacing w:after="0"/>
              <w:jc w:val="right"/>
            </w:pPr>
            <w:r/>
            <w:r>
              <w:rPr>
                <w:sz w:val="16"/>
              </w:rPr>
              <w:t>0.000</w:t>
            </w:r>
          </w:p>
        </w:tc>
      </w:tr>
    </w:tbl>
    <w:p>
      <w:pPr>
        <w:spacing w:after="120"/>
      </w:pPr>
      <w:r>
        <w:rPr>
          <w:b w:val="0"/>
          <w:i/>
          <w:color w:val="4A5260"/>
          <w:sz w:val="16"/>
        </w:rPr>
        <w:t>Month fixed effects absorb everything common to all groups in a month — national coverage and the macro releases — so coefficients use only cross-group differences. Within-R² 0.64. Caveat: hardship and sentiment come from the same respondents (reverse causality possible).</w:t>
      </w:r>
    </w:p>
    <w:p>
      <w:pPr>
        <w:jc w:val="both"/>
      </w:pPr>
      <w:r>
        <w:rPr>
          <w:b/>
          <w:i w:val="0"/>
        </w:rPr>
        <w:t>Interpretation.</w:t>
      </w:r>
      <w:r>
        <w:rPr>
          <w:b w:val="0"/>
          <w:i w:val="0"/>
        </w:rPr>
        <w:t xml:space="preserve"> Within a month, groups that report more price and income hardship are less confident (≈ −0.6 ICS points per pp citing prices), and this survives controls for the bad news each group says it heard. Group-specific hardship is therefore a credible channel (E1). But the hardship increase is common to all groups, so it cannot explain </w:t>
      </w:r>
      <w:r>
        <w:rPr>
          <w:b w:val="0"/>
          <w:i/>
        </w:rPr>
        <w:t>why the young fell further</w:t>
      </w:r>
      <w:r>
        <w:rPr>
          <w:b w:val="0"/>
          <w:i w:val="0"/>
        </w:rPr>
        <w:t xml:space="preserve"> on its own; the young's extra income/housing stress and extra bad-news recall both line up with their larger decline. Your original intuition is supported in direction, with the correction that the story is 'everyone feels the price level; younger households additionally feel income and housing strain' rather than 'one group drives it'.</w:t>
      </w:r>
    </w:p>
    <w:p>
      <w:pPr>
        <w:pStyle w:val="Heading1"/>
      </w:pPr>
      <w:r>
        <w:t>5. Measuring bias in news coverage and social media (RQ1)</w:t>
      </w:r>
    </w:p>
    <w:p>
      <w:pPr>
        <w:jc w:val="both"/>
      </w:pPr>
      <w:r>
        <w:rPr>
          <w:b/>
          <w:i w:val="0"/>
        </w:rPr>
        <w:t>Corpus design.</w:t>
      </w:r>
      <w:r>
        <w:rPr>
          <w:b w:val="0"/>
          <w:i w:val="0"/>
        </w:rPr>
        <w:t xml:space="preserve"> News: Google News US-edition RSS, nine fixed topic queries and fourteen outlet-specific queries per month, 2017-01 to 2026-10 (headline, outlet, date); GDELT full-population daily volume and full-text tone for the same period. Social: Hacker News (Algolia) since 2010 — the only platform with free historical access — and Mastodon hashtag timelines for the 2024–26 monitoring window. Reddit, Bluesky and X refused unauthenticated access, so we make </w:t>
      </w:r>
      <w:r>
        <w:rPr>
          <w:b/>
          <w:i w:val="0"/>
        </w:rPr>
        <w:t>no</w:t>
      </w:r>
      <w:r>
        <w:rPr>
          <w:b w:val="0"/>
          <w:i w:val="0"/>
        </w:rPr>
        <w:t xml:space="preserve"> claims about them, and HN's tech-heavy audience means social results describe that community, not Michigan respondents. Items are headlines/titles/posts (not full articles). We flag exact duplicates (wire syndication, reposts), ads, foreign-only items and suspected automated accounts, and keep three levels separate: </w:t>
      </w:r>
      <w:r>
        <w:rPr>
          <w:b/>
          <w:i w:val="0"/>
        </w:rPr>
        <w:t>supply</w:t>
      </w:r>
      <w:r>
        <w:rPr>
          <w:b w:val="0"/>
          <w:i w:val="0"/>
        </w:rPr>
        <w:t xml:space="preserve"> (what was published), </w:t>
      </w:r>
      <w:r>
        <w:rPr>
          <w:b/>
          <w:i w:val="0"/>
        </w:rPr>
        <w:t>engagement</w:t>
      </w:r>
      <w:r>
        <w:rPr>
          <w:b w:val="0"/>
          <w:i w:val="0"/>
        </w:rPr>
        <w:t xml:space="preserve"> (HN points, Mastodon favourites) and </w:t>
      </w:r>
      <w:r>
        <w:rPr>
          <w:b/>
          <w:i w:val="0"/>
        </w:rPr>
        <w:t>exposure/recall</w:t>
      </w:r>
      <w:r>
        <w:rPr>
          <w:b w:val="0"/>
          <w:i w:val="0"/>
        </w:rPr>
        <w:t xml:space="preserve"> (Michigan's 'news heard' questions).</w:t>
      </w:r>
    </w:p>
    <w:p>
      <w:pPr>
        <w:spacing w:after="40"/>
      </w:pPr>
      <w:r>
        <w:rPr>
          <w:b/>
          <w:i w:val="0"/>
          <w:sz w:val="19"/>
        </w:rPr>
        <w:t>Table 5. Corpus composition and quality flags.</w:t>
      </w:r>
    </w:p>
    <w:tbl>
      <w:tblPr>
        <w:tblStyle w:val="TableGrid"/>
        <w:tblW w:type="auto" w:w="0"/>
        <w:jc w:val="center"/>
        <w:tblLayout w:type="fixed"/>
        <w:tblLook w:firstColumn="1" w:firstRow="1" w:lastColumn="0" w:lastRow="0" w:noHBand="0" w:noVBand="1" w:val="04A0"/>
      </w:tblPr>
      <w:tblGrid>
        <w:gridCol w:w="3377"/>
        <w:gridCol w:w="1045"/>
        <w:gridCol w:w="1045"/>
        <w:gridCol w:w="1045"/>
        <w:gridCol w:w="1045"/>
        <w:gridCol w:w="1045"/>
        <w:gridCol w:w="1045"/>
      </w:tblGrid>
      <w:tr>
        <w:tc>
          <w:tcPr>
            <w:tcW w:type="dxa" w:w="3377"/>
            <w:shd w:val="clear" w:color="auto" w:fill="E8EDF4"/>
          </w:tcPr>
          <w:p>
            <w:pPr>
              <w:spacing w:after="0"/>
            </w:pPr>
            <w:r/>
            <w:r>
              <w:rPr>
                <w:b/>
                <w:sz w:val="16"/>
              </w:rPr>
              <w:t>Source group</w:t>
            </w:r>
          </w:p>
        </w:tc>
        <w:tc>
          <w:tcPr>
            <w:tcW w:type="dxa" w:w="1045"/>
            <w:shd w:val="clear" w:color="auto" w:fill="E8EDF4"/>
          </w:tcPr>
          <w:p>
            <w:pPr>
              <w:spacing w:after="0"/>
            </w:pPr>
            <w:r/>
            <w:r>
              <w:rPr>
                <w:b/>
                <w:sz w:val="16"/>
              </w:rPr>
              <w:t>Items</w:t>
            </w:r>
          </w:p>
        </w:tc>
        <w:tc>
          <w:tcPr>
            <w:tcW w:type="dxa" w:w="1045"/>
            <w:shd w:val="clear" w:color="auto" w:fill="E8EDF4"/>
          </w:tcPr>
          <w:p>
            <w:pPr>
              <w:spacing w:after="0"/>
            </w:pPr>
            <w:r/>
            <w:r>
              <w:rPr>
                <w:b/>
                <w:sz w:val="16"/>
              </w:rPr>
              <w:t>Relevant</w:t>
            </w:r>
          </w:p>
        </w:tc>
        <w:tc>
          <w:tcPr>
            <w:tcW w:type="dxa" w:w="1045"/>
            <w:shd w:val="clear" w:color="auto" w:fill="E8EDF4"/>
          </w:tcPr>
          <w:p>
            <w:pPr>
              <w:spacing w:after="0"/>
            </w:pPr>
            <w:r/>
            <w:r>
              <w:rPr>
                <w:b/>
                <w:sz w:val="16"/>
              </w:rPr>
              <w:t>Duplicates</w:t>
            </w:r>
          </w:p>
        </w:tc>
        <w:tc>
          <w:tcPr>
            <w:tcW w:type="dxa" w:w="1045"/>
            <w:shd w:val="clear" w:color="auto" w:fill="E8EDF4"/>
          </w:tcPr>
          <w:p>
            <w:pPr>
              <w:spacing w:after="0"/>
            </w:pPr>
            <w:r/>
            <w:r>
              <w:rPr>
                <w:b/>
                <w:sz w:val="16"/>
              </w:rPr>
              <w:t>Bot-flagged</w:t>
            </w:r>
          </w:p>
        </w:tc>
        <w:tc>
          <w:tcPr>
            <w:tcW w:type="dxa" w:w="1045"/>
            <w:shd w:val="clear" w:color="auto" w:fill="E8EDF4"/>
          </w:tcPr>
          <w:p>
            <w:pPr>
              <w:spacing w:after="0"/>
            </w:pPr>
            <w:r/>
            <w:r>
              <w:rPr>
                <w:b/>
                <w:sz w:val="16"/>
              </w:rPr>
              <w:t>Foreign</w:t>
            </w:r>
          </w:p>
        </w:tc>
        <w:tc>
          <w:tcPr>
            <w:tcW w:type="dxa" w:w="1045"/>
            <w:shd w:val="clear" w:color="auto" w:fill="E8EDF4"/>
          </w:tcPr>
          <w:p>
            <w:pPr>
              <w:spacing w:after="0"/>
            </w:pPr>
            <w:r/>
            <w:r>
              <w:rPr>
                <w:b/>
                <w:sz w:val="16"/>
              </w:rPr>
              <w:t>Sources</w:t>
            </w:r>
          </w:p>
        </w:tc>
      </w:tr>
      <w:tr>
        <w:tc>
          <w:tcPr>
            <w:tcW w:type="dxa" w:w="3377"/>
          </w:tcPr>
          <w:p>
            <w:pPr>
              <w:spacing w:after="0"/>
              <w:jc w:val="left"/>
            </w:pPr>
            <w:r/>
            <w:r>
              <w:rPr>
                <w:sz w:val="16"/>
              </w:rPr>
              <w:t>Hacker News</w:t>
            </w:r>
          </w:p>
        </w:tc>
        <w:tc>
          <w:tcPr>
            <w:tcW w:type="dxa" w:w="1045"/>
          </w:tcPr>
          <w:p>
            <w:pPr>
              <w:spacing w:after="0"/>
              <w:jc w:val="right"/>
            </w:pPr>
            <w:r/>
            <w:r>
              <w:rPr>
                <w:sz w:val="16"/>
              </w:rPr>
              <w:t>18,839</w:t>
            </w:r>
          </w:p>
        </w:tc>
        <w:tc>
          <w:tcPr>
            <w:tcW w:type="dxa" w:w="1045"/>
          </w:tcPr>
          <w:p>
            <w:pPr>
              <w:spacing w:after="0"/>
              <w:jc w:val="right"/>
            </w:pPr>
            <w:r/>
            <w:r>
              <w:rPr>
                <w:sz w:val="16"/>
              </w:rPr>
              <w:t>14,734</w:t>
            </w:r>
          </w:p>
        </w:tc>
        <w:tc>
          <w:tcPr>
            <w:tcW w:type="dxa" w:w="1045"/>
          </w:tcPr>
          <w:p>
            <w:pPr>
              <w:spacing w:after="0"/>
              <w:jc w:val="right"/>
            </w:pPr>
            <w:r/>
            <w:r>
              <w:rPr>
                <w:sz w:val="16"/>
              </w:rPr>
              <w:t>631</w:t>
            </w:r>
          </w:p>
        </w:tc>
        <w:tc>
          <w:tcPr>
            <w:tcW w:type="dxa" w:w="1045"/>
          </w:tcPr>
          <w:p>
            <w:pPr>
              <w:spacing w:after="0"/>
              <w:jc w:val="right"/>
            </w:pPr>
            <w:r/>
            <w:r>
              <w:rPr>
                <w:sz w:val="16"/>
              </w:rPr>
              <w:t>0</w:t>
            </w:r>
          </w:p>
        </w:tc>
        <w:tc>
          <w:tcPr>
            <w:tcW w:type="dxa" w:w="1045"/>
          </w:tcPr>
          <w:p>
            <w:pPr>
              <w:spacing w:after="0"/>
              <w:jc w:val="right"/>
            </w:pPr>
            <w:r/>
            <w:r>
              <w:rPr>
                <w:sz w:val="16"/>
              </w:rPr>
              <w:t>1,509</w:t>
            </w:r>
          </w:p>
        </w:tc>
        <w:tc>
          <w:tcPr>
            <w:tcW w:type="dxa" w:w="1045"/>
          </w:tcPr>
          <w:p>
            <w:pPr>
              <w:spacing w:after="0"/>
              <w:jc w:val="right"/>
            </w:pPr>
            <w:r/>
            <w:r>
              <w:rPr>
                <w:sz w:val="16"/>
              </w:rPr>
              <w:t>2</w:t>
            </w:r>
          </w:p>
        </w:tc>
      </w:tr>
      <w:tr>
        <w:tc>
          <w:tcPr>
            <w:tcW w:type="dxa" w:w="3377"/>
          </w:tcPr>
          <w:p>
            <w:pPr>
              <w:spacing w:after="0"/>
              <w:jc w:val="left"/>
            </w:pPr>
            <w:r/>
            <w:r>
              <w:rPr>
                <w:sz w:val="16"/>
              </w:rPr>
              <w:t>Mastodon</w:t>
            </w:r>
          </w:p>
        </w:tc>
        <w:tc>
          <w:tcPr>
            <w:tcW w:type="dxa" w:w="1045"/>
          </w:tcPr>
          <w:p>
            <w:pPr>
              <w:spacing w:after="0"/>
              <w:jc w:val="right"/>
            </w:pPr>
            <w:r/>
            <w:r>
              <w:rPr>
                <w:sz w:val="16"/>
              </w:rPr>
              <w:t>15,995</w:t>
            </w:r>
          </w:p>
        </w:tc>
        <w:tc>
          <w:tcPr>
            <w:tcW w:type="dxa" w:w="1045"/>
          </w:tcPr>
          <w:p>
            <w:pPr>
              <w:spacing w:after="0"/>
              <w:jc w:val="right"/>
            </w:pPr>
            <w:r/>
            <w:r>
              <w:rPr>
                <w:sz w:val="16"/>
              </w:rPr>
              <w:t>9,643</w:t>
            </w:r>
          </w:p>
        </w:tc>
        <w:tc>
          <w:tcPr>
            <w:tcW w:type="dxa" w:w="1045"/>
          </w:tcPr>
          <w:p>
            <w:pPr>
              <w:spacing w:after="0"/>
              <w:jc w:val="right"/>
            </w:pPr>
            <w:r/>
            <w:r>
              <w:rPr>
                <w:sz w:val="16"/>
              </w:rPr>
              <w:t>512</w:t>
            </w:r>
          </w:p>
        </w:tc>
        <w:tc>
          <w:tcPr>
            <w:tcW w:type="dxa" w:w="1045"/>
          </w:tcPr>
          <w:p>
            <w:pPr>
              <w:spacing w:after="0"/>
              <w:jc w:val="right"/>
            </w:pPr>
            <w:r/>
            <w:r>
              <w:rPr>
                <w:sz w:val="16"/>
              </w:rPr>
              <w:t>8,765</w:t>
            </w:r>
          </w:p>
        </w:tc>
        <w:tc>
          <w:tcPr>
            <w:tcW w:type="dxa" w:w="1045"/>
          </w:tcPr>
          <w:p>
            <w:pPr>
              <w:spacing w:after="0"/>
              <w:jc w:val="right"/>
            </w:pPr>
            <w:r/>
            <w:r>
              <w:rPr>
                <w:sz w:val="16"/>
              </w:rPr>
              <w:t>2,974</w:t>
            </w:r>
          </w:p>
        </w:tc>
        <w:tc>
          <w:tcPr>
            <w:tcW w:type="dxa" w:w="1045"/>
          </w:tcPr>
          <w:p>
            <w:pPr>
              <w:spacing w:after="0"/>
              <w:jc w:val="right"/>
            </w:pPr>
            <w:r/>
            <w:r>
              <w:rPr>
                <w:sz w:val="16"/>
              </w:rPr>
              <w:t>1</w:t>
            </w:r>
          </w:p>
        </w:tc>
      </w:tr>
      <w:tr>
        <w:tc>
          <w:tcPr>
            <w:tcW w:type="dxa" w:w="3377"/>
          </w:tcPr>
          <w:p>
            <w:pPr>
              <w:spacing w:after="0"/>
              <w:jc w:val="left"/>
            </w:pPr>
            <w:r/>
            <w:r>
              <w:rPr>
                <w:sz w:val="16"/>
              </w:rPr>
              <w:t>News: local regional</w:t>
            </w:r>
          </w:p>
        </w:tc>
        <w:tc>
          <w:tcPr>
            <w:tcW w:type="dxa" w:w="1045"/>
          </w:tcPr>
          <w:p>
            <w:pPr>
              <w:spacing w:after="0"/>
              <w:jc w:val="right"/>
            </w:pPr>
            <w:r/>
            <w:r>
              <w:rPr>
                <w:sz w:val="16"/>
              </w:rPr>
              <w:t>53,672</w:t>
            </w:r>
          </w:p>
        </w:tc>
        <w:tc>
          <w:tcPr>
            <w:tcW w:type="dxa" w:w="1045"/>
          </w:tcPr>
          <w:p>
            <w:pPr>
              <w:spacing w:after="0"/>
              <w:jc w:val="right"/>
            </w:pPr>
            <w:r/>
            <w:r>
              <w:rPr>
                <w:sz w:val="16"/>
              </w:rPr>
              <w:t>36,546</w:t>
            </w:r>
          </w:p>
        </w:tc>
        <w:tc>
          <w:tcPr>
            <w:tcW w:type="dxa" w:w="1045"/>
          </w:tcPr>
          <w:p>
            <w:pPr>
              <w:spacing w:after="0"/>
              <w:jc w:val="right"/>
            </w:pPr>
            <w:r/>
            <w:r>
              <w:rPr>
                <w:sz w:val="16"/>
              </w:rPr>
              <w:t>1,435</w:t>
            </w:r>
          </w:p>
        </w:tc>
        <w:tc>
          <w:tcPr>
            <w:tcW w:type="dxa" w:w="1045"/>
          </w:tcPr>
          <w:p>
            <w:pPr>
              <w:spacing w:after="0"/>
              <w:jc w:val="right"/>
            </w:pPr>
            <w:r/>
            <w:r>
              <w:rPr>
                <w:sz w:val="16"/>
              </w:rPr>
              <w:t>0</w:t>
            </w:r>
          </w:p>
        </w:tc>
        <w:tc>
          <w:tcPr>
            <w:tcW w:type="dxa" w:w="1045"/>
          </w:tcPr>
          <w:p>
            <w:pPr>
              <w:spacing w:after="0"/>
              <w:jc w:val="right"/>
            </w:pPr>
            <w:r/>
            <w:r>
              <w:rPr>
                <w:sz w:val="16"/>
              </w:rPr>
              <w:t>4,587</w:t>
            </w:r>
          </w:p>
        </w:tc>
        <w:tc>
          <w:tcPr>
            <w:tcW w:type="dxa" w:w="1045"/>
          </w:tcPr>
          <w:p>
            <w:pPr>
              <w:spacing w:after="0"/>
              <w:jc w:val="right"/>
            </w:pPr>
            <w:r/>
            <w:r>
              <w:rPr>
                <w:sz w:val="16"/>
              </w:rPr>
              <w:t>7,153</w:t>
            </w:r>
          </w:p>
        </w:tc>
      </w:tr>
      <w:tr>
        <w:tc>
          <w:tcPr>
            <w:tcW w:type="dxa" w:w="3377"/>
          </w:tcPr>
          <w:p>
            <w:pPr>
              <w:spacing w:after="0"/>
              <w:jc w:val="left"/>
            </w:pPr>
            <w:r/>
            <w:r>
              <w:rPr>
                <w:sz w:val="16"/>
              </w:rPr>
              <w:t>News: national, wire &amp; business</w:t>
            </w:r>
          </w:p>
        </w:tc>
        <w:tc>
          <w:tcPr>
            <w:tcW w:type="dxa" w:w="1045"/>
          </w:tcPr>
          <w:p>
            <w:pPr>
              <w:spacing w:after="0"/>
              <w:jc w:val="right"/>
            </w:pPr>
            <w:r/>
            <w:r>
              <w:rPr>
                <w:sz w:val="16"/>
              </w:rPr>
              <w:t>138,721</w:t>
            </w:r>
          </w:p>
        </w:tc>
        <w:tc>
          <w:tcPr>
            <w:tcW w:type="dxa" w:w="1045"/>
          </w:tcPr>
          <w:p>
            <w:pPr>
              <w:spacing w:after="0"/>
              <w:jc w:val="right"/>
            </w:pPr>
            <w:r/>
            <w:r>
              <w:rPr>
                <w:sz w:val="16"/>
              </w:rPr>
              <w:t>38,586</w:t>
            </w:r>
          </w:p>
        </w:tc>
        <w:tc>
          <w:tcPr>
            <w:tcW w:type="dxa" w:w="1045"/>
          </w:tcPr>
          <w:p>
            <w:pPr>
              <w:spacing w:after="0"/>
              <w:jc w:val="right"/>
            </w:pPr>
            <w:r/>
            <w:r>
              <w:rPr>
                <w:sz w:val="16"/>
              </w:rPr>
              <w:t>970</w:t>
            </w:r>
          </w:p>
        </w:tc>
        <w:tc>
          <w:tcPr>
            <w:tcW w:type="dxa" w:w="1045"/>
          </w:tcPr>
          <w:p>
            <w:pPr>
              <w:spacing w:after="0"/>
              <w:jc w:val="right"/>
            </w:pPr>
            <w:r/>
            <w:r>
              <w:rPr>
                <w:sz w:val="16"/>
              </w:rPr>
              <w:t>0</w:t>
            </w:r>
          </w:p>
        </w:tc>
        <w:tc>
          <w:tcPr>
            <w:tcW w:type="dxa" w:w="1045"/>
          </w:tcPr>
          <w:p>
            <w:pPr>
              <w:spacing w:after="0"/>
              <w:jc w:val="right"/>
            </w:pPr>
            <w:r/>
            <w:r>
              <w:rPr>
                <w:sz w:val="16"/>
              </w:rPr>
              <w:t>17,363</w:t>
            </w:r>
          </w:p>
        </w:tc>
        <w:tc>
          <w:tcPr>
            <w:tcW w:type="dxa" w:w="1045"/>
          </w:tcPr>
          <w:p>
            <w:pPr>
              <w:spacing w:after="0"/>
              <w:jc w:val="right"/>
            </w:pPr>
            <w:r/>
            <w:r>
              <w:rPr>
                <w:sz w:val="16"/>
              </w:rPr>
              <w:t>54</w:t>
            </w:r>
          </w:p>
        </w:tc>
      </w:tr>
      <w:tr>
        <w:tc>
          <w:tcPr>
            <w:tcW w:type="dxa" w:w="3377"/>
          </w:tcPr>
          <w:p>
            <w:pPr>
              <w:spacing w:after="0"/>
              <w:jc w:val="left"/>
            </w:pPr>
            <w:r/>
            <w:r>
              <w:rPr>
                <w:sz w:val="16"/>
              </w:rPr>
              <w:t>News: other institutional</w:t>
            </w:r>
          </w:p>
        </w:tc>
        <w:tc>
          <w:tcPr>
            <w:tcW w:type="dxa" w:w="1045"/>
          </w:tcPr>
          <w:p>
            <w:pPr>
              <w:spacing w:after="0"/>
              <w:jc w:val="right"/>
            </w:pPr>
            <w:r/>
            <w:r>
              <w:rPr>
                <w:sz w:val="16"/>
              </w:rPr>
              <w:t>19,881</w:t>
            </w:r>
          </w:p>
        </w:tc>
        <w:tc>
          <w:tcPr>
            <w:tcW w:type="dxa" w:w="1045"/>
          </w:tcPr>
          <w:p>
            <w:pPr>
              <w:spacing w:after="0"/>
              <w:jc w:val="right"/>
            </w:pPr>
            <w:r/>
            <w:r>
              <w:rPr>
                <w:sz w:val="16"/>
              </w:rPr>
              <w:t>15,630</w:t>
            </w:r>
          </w:p>
        </w:tc>
        <w:tc>
          <w:tcPr>
            <w:tcW w:type="dxa" w:w="1045"/>
          </w:tcPr>
          <w:p>
            <w:pPr>
              <w:spacing w:after="0"/>
              <w:jc w:val="right"/>
            </w:pPr>
            <w:r/>
            <w:r>
              <w:rPr>
                <w:sz w:val="16"/>
              </w:rPr>
              <w:t>193</w:t>
            </w:r>
          </w:p>
        </w:tc>
        <w:tc>
          <w:tcPr>
            <w:tcW w:type="dxa" w:w="1045"/>
          </w:tcPr>
          <w:p>
            <w:pPr>
              <w:spacing w:after="0"/>
              <w:jc w:val="right"/>
            </w:pPr>
            <w:r/>
            <w:r>
              <w:rPr>
                <w:sz w:val="16"/>
              </w:rPr>
              <w:t>0</w:t>
            </w:r>
          </w:p>
        </w:tc>
        <w:tc>
          <w:tcPr>
            <w:tcW w:type="dxa" w:w="1045"/>
          </w:tcPr>
          <w:p>
            <w:pPr>
              <w:spacing w:after="0"/>
              <w:jc w:val="right"/>
            </w:pPr>
            <w:r/>
            <w:r>
              <w:rPr>
                <w:sz w:val="16"/>
              </w:rPr>
              <w:t>1,258</w:t>
            </w:r>
          </w:p>
        </w:tc>
        <w:tc>
          <w:tcPr>
            <w:tcW w:type="dxa" w:w="1045"/>
          </w:tcPr>
          <w:p>
            <w:pPr>
              <w:spacing w:after="0"/>
              <w:jc w:val="right"/>
            </w:pPr>
            <w:r/>
            <w:r>
              <w:rPr>
                <w:sz w:val="16"/>
              </w:rPr>
              <w:t>2,308</w:t>
            </w:r>
          </w:p>
        </w:tc>
      </w:tr>
    </w:tbl>
    <w:p>
      <w:pPr>
        <w:spacing w:after="120"/>
      </w:pPr>
      <w:r>
        <w:rPr>
          <w:b w:val="0"/>
          <w:i/>
          <w:color w:val="4A5260"/>
          <w:sz w:val="16"/>
        </w:rPr>
        <w:t>Google News results are ranked by Google's relevance algorithm, not randomly sampled; this is a selection layer we cannot remove and is one reason supply measures are compared across outlets within the same month rather than read as absolute levels.</w:t>
      </w:r>
    </w:p>
    <w:p>
      <w:pPr>
        <w:jc w:val="both"/>
      </w:pPr>
      <w:r>
        <w:rPr>
          <w:b/>
          <w:i w:val="0"/>
        </w:rPr>
        <w:t>Coding scheme and AI measurement.</w:t>
      </w:r>
      <w:r>
        <w:rPr>
          <w:b w:val="0"/>
          <w:i w:val="0"/>
        </w:rPr>
        <w:t xml:space="preserve"> The codebook (docs/CODEBOOK.md, frozen before any model was run) defines six dimensions: tone (with emotional wording separated from factual valence), selection/salience (eleven topics), framing (price level vs rate; household vs aggregate; current vs forecast), factual calibration, and political attribution (credit/blame by actor, without equating criticism with bias). The AI coder is a zero-shot natural-language-inference model (DeBERTa-v3, pinned revision) whose hypotheses transcribe the codebook definitions, with FinBERT as a domain model and an emotion classifier plus loaded-word lexicon for emotional wording. Baselines are a direction-aware economic dictionary, GDELT's full-text dictionary tone, and a TF-IDF/logistic-regression classifier trained on the human labels. An optional LLM coder (Claude, same codebook, prompts/llm_coding_prompt_v1.md) is scripted for comparison. Coding uses a fixed-seed stratified sample (≤12 headlines per topic query and ≤10 per outlet per month) so every month and outlet is represented.</w:t>
      </w:r>
    </w:p>
    <w:p>
      <w:pPr>
        <w:pStyle w:val="Heading2"/>
      </w:pPr>
      <w:r>
        <w:t>5.1 Validation</w:t>
      </w:r>
    </w:p>
    <w:p>
      <w:pPr>
        <w:jc w:val="both"/>
      </w:pPr>
      <w:r>
        <w:rPr>
          <w:b/>
          <w:i w:val="0"/>
        </w:rPr>
        <w:t>Design and deviation from the brief.</w:t>
      </w:r>
      <w:r>
        <w:rPr>
          <w:b w:val="0"/>
          <w:i w:val="0"/>
        </w:rPr>
        <w:t xml:space="preserve"> The brief asks for two independent annotators; only one was available, and we did not simulate a second. One human annotator labelled the full stratified sample of 300 items (news by outlet-lean group, Hacker News and Mastodon × four periods; AI-predicted positives oversampled so per-class F1 is estimable) for relevance and household tone, using a one-tap web tool blind to all machine labels. Inter-annotator agreement therefore cannot be reported; reliability is assessed by </w:t>
      </w:r>
      <w:r>
        <w:rPr>
          <w:b/>
          <w:i w:val="0"/>
        </w:rPr>
        <w:t>test–retest</w:t>
      </w:r>
      <w:r>
        <w:rPr>
          <w:b w:val="0"/>
          <w:i w:val="0"/>
        </w:rPr>
        <w:t xml:space="preserve"> on a 30-item re-check (Table 6a). Topic, framing and attribution remain machine-coded only. An LLM (Claude Opus 5.5) also labelled the same items as an additional coder; it is evaluated against the human labels like any other model, never used as ground truth.</w:t>
      </w:r>
    </w:p>
    <w:p>
      <w:pPr>
        <w:spacing w:after="40"/>
      </w:pPr>
      <w:r>
        <w:rPr>
          <w:b/>
          <w:i w:val="0"/>
          <w:sz w:val="19"/>
        </w:rPr>
        <w:t>Table 6a. Test–retest reliability (same annotator, re-labelled later, new order, blind to first answers).</w:t>
      </w:r>
    </w:p>
    <w:tbl>
      <w:tblPr>
        <w:tblStyle w:val="TableGrid"/>
        <w:tblW w:type="auto" w:w="0"/>
        <w:jc w:val="center"/>
        <w:tblLayout w:type="fixed"/>
        <w:tblLook w:firstColumn="1" w:firstRow="1" w:lastColumn="0" w:lastRow="0" w:noHBand="0" w:noVBand="1" w:val="04A0"/>
      </w:tblPr>
      <w:tblGrid>
        <w:gridCol w:w="3377"/>
        <w:gridCol w:w="1568"/>
        <w:gridCol w:w="1568"/>
        <w:gridCol w:w="1568"/>
        <w:gridCol w:w="1568"/>
      </w:tblGrid>
      <w:tr>
        <w:tc>
          <w:tcPr>
            <w:tcW w:type="dxa" w:w="3377"/>
            <w:shd w:val="clear" w:color="auto" w:fill="E8EDF4"/>
          </w:tcPr>
          <w:p>
            <w:pPr>
              <w:spacing w:after="0"/>
            </w:pPr>
            <w:r/>
            <w:r>
              <w:rPr>
                <w:b/>
                <w:sz w:val="16"/>
              </w:rPr>
              <w:t>Dimension</w:t>
            </w:r>
          </w:p>
        </w:tc>
        <w:tc>
          <w:tcPr>
            <w:tcW w:type="dxa" w:w="1568"/>
            <w:shd w:val="clear" w:color="auto" w:fill="E8EDF4"/>
          </w:tcPr>
          <w:p>
            <w:pPr>
              <w:spacing w:after="0"/>
            </w:pPr>
            <w:r/>
            <w:r>
              <w:rPr>
                <w:b/>
                <w:sz w:val="16"/>
              </w:rPr>
              <w:t>N</w:t>
            </w:r>
          </w:p>
        </w:tc>
        <w:tc>
          <w:tcPr>
            <w:tcW w:type="dxa" w:w="1568"/>
            <w:shd w:val="clear" w:color="auto" w:fill="E8EDF4"/>
          </w:tcPr>
          <w:p>
            <w:pPr>
              <w:spacing w:after="0"/>
            </w:pPr>
            <w:r/>
            <w:r>
              <w:rPr>
                <w:b/>
                <w:sz w:val="16"/>
              </w:rPr>
              <w:t>% agree</w:t>
            </w:r>
          </w:p>
        </w:tc>
        <w:tc>
          <w:tcPr>
            <w:tcW w:type="dxa" w:w="1568"/>
            <w:shd w:val="clear" w:color="auto" w:fill="E8EDF4"/>
          </w:tcPr>
          <w:p>
            <w:pPr>
              <w:spacing w:after="0"/>
            </w:pPr>
            <w:r/>
            <w:r>
              <w:rPr>
                <w:b/>
                <w:sz w:val="16"/>
              </w:rPr>
              <w:t>Cohen's κ</w:t>
            </w:r>
          </w:p>
        </w:tc>
        <w:tc>
          <w:tcPr>
            <w:tcW w:type="dxa" w:w="1568"/>
            <w:shd w:val="clear" w:color="auto" w:fill="E8EDF4"/>
          </w:tcPr>
          <w:p>
            <w:pPr>
              <w:spacing w:after="0"/>
            </w:pPr>
            <w:r/>
            <w:r>
              <w:rPr>
                <w:b/>
                <w:sz w:val="16"/>
              </w:rPr>
              <w:t>Krippendorff's α</w:t>
            </w:r>
          </w:p>
        </w:tc>
      </w:tr>
      <w:tr>
        <w:tc>
          <w:tcPr>
            <w:tcW w:type="dxa" w:w="3377"/>
          </w:tcPr>
          <w:p>
            <w:pPr>
              <w:spacing w:after="0"/>
              <w:jc w:val="left"/>
            </w:pPr>
            <w:r/>
            <w:r>
              <w:rPr>
                <w:sz w:val="16"/>
              </w:rPr>
              <w:t>relevant</w:t>
            </w:r>
          </w:p>
        </w:tc>
        <w:tc>
          <w:tcPr>
            <w:tcW w:type="dxa" w:w="1568"/>
          </w:tcPr>
          <w:p>
            <w:pPr>
              <w:spacing w:after="0"/>
              <w:jc w:val="right"/>
            </w:pPr>
            <w:r/>
            <w:r>
              <w:rPr>
                <w:sz w:val="16"/>
              </w:rPr>
              <w:t>30</w:t>
            </w:r>
          </w:p>
        </w:tc>
        <w:tc>
          <w:tcPr>
            <w:tcW w:type="dxa" w:w="1568"/>
          </w:tcPr>
          <w:p>
            <w:pPr>
              <w:spacing w:after="0"/>
              <w:jc w:val="right"/>
            </w:pPr>
            <w:r/>
            <w:r>
              <w:rPr>
                <w:sz w:val="16"/>
              </w:rPr>
              <w:t>80%</w:t>
            </w:r>
          </w:p>
        </w:tc>
        <w:tc>
          <w:tcPr>
            <w:tcW w:type="dxa" w:w="1568"/>
          </w:tcPr>
          <w:p>
            <w:pPr>
              <w:spacing w:after="0"/>
              <w:jc w:val="right"/>
            </w:pPr>
            <w:r/>
            <w:r>
              <w:rPr>
                <w:sz w:val="16"/>
              </w:rPr>
              <w:t>0.30</w:t>
            </w:r>
          </w:p>
        </w:tc>
        <w:tc>
          <w:tcPr>
            <w:tcW w:type="dxa" w:w="1568"/>
          </w:tcPr>
          <w:p>
            <w:pPr>
              <w:spacing w:after="0"/>
              <w:jc w:val="right"/>
            </w:pPr>
            <w:r/>
            <w:r>
              <w:rPr>
                <w:sz w:val="16"/>
              </w:rPr>
              <w:t>0.29</w:t>
            </w:r>
          </w:p>
        </w:tc>
      </w:tr>
      <w:tr>
        <w:tc>
          <w:tcPr>
            <w:tcW w:type="dxa" w:w="3377"/>
          </w:tcPr>
          <w:p>
            <w:pPr>
              <w:spacing w:after="0"/>
              <w:jc w:val="left"/>
            </w:pPr>
            <w:r/>
            <w:r>
              <w:rPr>
                <w:sz w:val="16"/>
              </w:rPr>
              <w:t>tone</w:t>
            </w:r>
          </w:p>
        </w:tc>
        <w:tc>
          <w:tcPr>
            <w:tcW w:type="dxa" w:w="1568"/>
          </w:tcPr>
          <w:p>
            <w:pPr>
              <w:spacing w:after="0"/>
              <w:jc w:val="right"/>
            </w:pPr>
            <w:r/>
            <w:r>
              <w:rPr>
                <w:sz w:val="16"/>
              </w:rPr>
              <w:t>30</w:t>
            </w:r>
          </w:p>
        </w:tc>
        <w:tc>
          <w:tcPr>
            <w:tcW w:type="dxa" w:w="1568"/>
          </w:tcPr>
          <w:p>
            <w:pPr>
              <w:spacing w:after="0"/>
              <w:jc w:val="right"/>
            </w:pPr>
            <w:r/>
            <w:r>
              <w:rPr>
                <w:sz w:val="16"/>
              </w:rPr>
              <w:t>60%</w:t>
            </w:r>
          </w:p>
        </w:tc>
        <w:tc>
          <w:tcPr>
            <w:tcW w:type="dxa" w:w="1568"/>
          </w:tcPr>
          <w:p>
            <w:pPr>
              <w:spacing w:after="0"/>
              <w:jc w:val="right"/>
            </w:pPr>
            <w:r/>
            <w:r>
              <w:rPr>
                <w:sz w:val="16"/>
              </w:rPr>
              <w:t>0.26</w:t>
            </w:r>
          </w:p>
        </w:tc>
        <w:tc>
          <w:tcPr>
            <w:tcW w:type="dxa" w:w="1568"/>
          </w:tcPr>
          <w:p>
            <w:pPr>
              <w:spacing w:after="0"/>
              <w:jc w:val="right"/>
            </w:pPr>
            <w:r/>
            <w:r>
              <w:rPr>
                <w:sz w:val="16"/>
              </w:rPr>
              <w:t>0.26</w:t>
            </w:r>
          </w:p>
        </w:tc>
      </w:tr>
    </w:tbl>
    <w:p>
      <w:pPr>
        <w:spacing w:after="120"/>
      </w:pPr>
      <w:r>
        <w:rPr>
          <w:b w:val="0"/>
          <w:i/>
          <w:color w:val="4A5260"/>
          <w:sz w:val="16"/>
        </w:rPr>
        <w:t>The 30 re-check items were drawn from the items on which the machine coders disagreed — the hardest, most ambiguous cases — so these figures are a lower bound on human reliability. Even one person is only moderately consistent on ambiguous economic headlines: that is the ceiling against which the AI coder's 70% agreement should be read.</w:t>
      </w:r>
    </w:p>
    <w:p>
      <w:pPr>
        <w:spacing w:after="40"/>
      </w:pPr>
      <w:r>
        <w:rPr>
          <w:b/>
          <w:i w:val="0"/>
          <w:sz w:val="19"/>
        </w:rPr>
        <w:t>Table 6. Coders vs the human labels (relevant items).</w:t>
      </w:r>
    </w:p>
    <w:tbl>
      <w:tblPr>
        <w:tblStyle w:val="TableGrid"/>
        <w:tblW w:type="auto" w:w="0"/>
        <w:jc w:val="center"/>
        <w:tblLayout w:type="fixed"/>
        <w:tblLook w:firstColumn="1" w:firstRow="1" w:lastColumn="0" w:lastRow="0" w:noHBand="0" w:noVBand="1" w:val="04A0"/>
      </w:tblPr>
      <w:tblGrid>
        <w:gridCol w:w="3377"/>
        <w:gridCol w:w="1568"/>
        <w:gridCol w:w="1568"/>
        <w:gridCol w:w="1568"/>
        <w:gridCol w:w="1568"/>
      </w:tblGrid>
      <w:tr>
        <w:tc>
          <w:tcPr>
            <w:tcW w:type="dxa" w:w="3377"/>
            <w:shd w:val="clear" w:color="auto" w:fill="E8EDF4"/>
          </w:tcPr>
          <w:p>
            <w:pPr>
              <w:spacing w:after="0"/>
            </w:pPr>
            <w:r/>
            <w:r>
              <w:rPr>
                <w:b/>
                <w:sz w:val="16"/>
              </w:rPr>
              <w:t>Coder (household tone)</w:t>
            </w:r>
          </w:p>
        </w:tc>
        <w:tc>
          <w:tcPr>
            <w:tcW w:type="dxa" w:w="1568"/>
            <w:shd w:val="clear" w:color="auto" w:fill="E8EDF4"/>
          </w:tcPr>
          <w:p>
            <w:pPr>
              <w:spacing w:after="0"/>
            </w:pPr>
            <w:r/>
            <w:r>
              <w:rPr>
                <w:b/>
                <w:sz w:val="16"/>
              </w:rPr>
              <w:t>N</w:t>
            </w:r>
          </w:p>
        </w:tc>
        <w:tc>
          <w:tcPr>
            <w:tcW w:type="dxa" w:w="1568"/>
            <w:shd w:val="clear" w:color="auto" w:fill="E8EDF4"/>
          </w:tcPr>
          <w:p>
            <w:pPr>
              <w:spacing w:after="0"/>
            </w:pPr>
            <w:r/>
            <w:r>
              <w:rPr>
                <w:b/>
                <w:sz w:val="16"/>
              </w:rPr>
              <w:t>Accuracy</w:t>
            </w:r>
          </w:p>
        </w:tc>
        <w:tc>
          <w:tcPr>
            <w:tcW w:type="dxa" w:w="1568"/>
            <w:shd w:val="clear" w:color="auto" w:fill="E8EDF4"/>
          </w:tcPr>
          <w:p>
            <w:pPr>
              <w:spacing w:after="0"/>
            </w:pPr>
            <w:r/>
            <w:r>
              <w:rPr>
                <w:b/>
                <w:sz w:val="16"/>
              </w:rPr>
              <w:t>Macro-F1</w:t>
            </w:r>
          </w:p>
        </w:tc>
        <w:tc>
          <w:tcPr>
            <w:tcW w:type="dxa" w:w="1568"/>
            <w:shd w:val="clear" w:color="auto" w:fill="E8EDF4"/>
          </w:tcPr>
          <w:p>
            <w:pPr>
              <w:spacing w:after="0"/>
            </w:pPr>
            <w:r/>
            <w:r>
              <w:rPr>
                <w:b/>
                <w:sz w:val="16"/>
              </w:rPr>
              <w:t>κ vs human</w:t>
            </w:r>
          </w:p>
        </w:tc>
      </w:tr>
      <w:tr>
        <w:tc>
          <w:tcPr>
            <w:tcW w:type="dxa" w:w="3377"/>
          </w:tcPr>
          <w:p>
            <w:pPr>
              <w:spacing w:after="0"/>
              <w:jc w:val="left"/>
            </w:pPr>
            <w:r/>
            <w:r>
              <w:rPr>
                <w:sz w:val="16"/>
              </w:rPr>
              <w:t>AI coder v2 (NLI + price rule)</w:t>
            </w:r>
          </w:p>
        </w:tc>
        <w:tc>
          <w:tcPr>
            <w:tcW w:type="dxa" w:w="1568"/>
          </w:tcPr>
          <w:p>
            <w:pPr>
              <w:spacing w:after="0"/>
              <w:jc w:val="right"/>
            </w:pPr>
            <w:r/>
            <w:r>
              <w:rPr>
                <w:sz w:val="16"/>
              </w:rPr>
              <w:t>269</w:t>
            </w:r>
          </w:p>
        </w:tc>
        <w:tc>
          <w:tcPr>
            <w:tcW w:type="dxa" w:w="1568"/>
          </w:tcPr>
          <w:p>
            <w:pPr>
              <w:spacing w:after="0"/>
              <w:jc w:val="right"/>
            </w:pPr>
            <w:r/>
            <w:r>
              <w:rPr>
                <w:sz w:val="16"/>
              </w:rPr>
              <w:t>70%</w:t>
            </w:r>
          </w:p>
        </w:tc>
        <w:tc>
          <w:tcPr>
            <w:tcW w:type="dxa" w:w="1568"/>
          </w:tcPr>
          <w:p>
            <w:pPr>
              <w:spacing w:after="0"/>
              <w:jc w:val="right"/>
            </w:pPr>
            <w:r/>
            <w:r>
              <w:rPr>
                <w:sz w:val="16"/>
              </w:rPr>
              <w:t>0.59</w:t>
            </w:r>
          </w:p>
        </w:tc>
        <w:tc>
          <w:tcPr>
            <w:tcW w:type="dxa" w:w="1568"/>
          </w:tcPr>
          <w:p>
            <w:pPr>
              <w:spacing w:after="0"/>
              <w:jc w:val="right"/>
            </w:pPr>
            <w:r/>
            <w:r>
              <w:rPr>
                <w:sz w:val="16"/>
              </w:rPr>
              <w:t>0.45</w:t>
            </w:r>
          </w:p>
        </w:tc>
      </w:tr>
      <w:tr>
        <w:tc>
          <w:tcPr>
            <w:tcW w:type="dxa" w:w="3377"/>
          </w:tcPr>
          <w:p>
            <w:pPr>
              <w:spacing w:after="0"/>
              <w:jc w:val="left"/>
            </w:pPr>
            <w:r/>
            <w:r>
              <w:rPr>
                <w:sz w:val="16"/>
              </w:rPr>
              <w:t>LLM (Claude Opus 5.5)</w:t>
            </w:r>
          </w:p>
        </w:tc>
        <w:tc>
          <w:tcPr>
            <w:tcW w:type="dxa" w:w="1568"/>
          </w:tcPr>
          <w:p>
            <w:pPr>
              <w:spacing w:after="0"/>
              <w:jc w:val="right"/>
            </w:pPr>
            <w:r/>
            <w:r>
              <w:rPr>
                <w:sz w:val="16"/>
              </w:rPr>
              <w:t>269</w:t>
            </w:r>
          </w:p>
        </w:tc>
        <w:tc>
          <w:tcPr>
            <w:tcW w:type="dxa" w:w="1568"/>
          </w:tcPr>
          <w:p>
            <w:pPr>
              <w:spacing w:after="0"/>
              <w:jc w:val="right"/>
            </w:pPr>
            <w:r/>
            <w:r>
              <w:rPr>
                <w:sz w:val="16"/>
              </w:rPr>
              <w:t>50%</w:t>
            </w:r>
          </w:p>
        </w:tc>
        <w:tc>
          <w:tcPr>
            <w:tcW w:type="dxa" w:w="1568"/>
          </w:tcPr>
          <w:p>
            <w:pPr>
              <w:spacing w:after="0"/>
              <w:jc w:val="right"/>
            </w:pPr>
            <w:r/>
            <w:r>
              <w:rPr>
                <w:sz w:val="16"/>
              </w:rPr>
              <w:t>0.35</w:t>
            </w:r>
          </w:p>
        </w:tc>
        <w:tc>
          <w:tcPr>
            <w:tcW w:type="dxa" w:w="1568"/>
          </w:tcPr>
          <w:p>
            <w:pPr>
              <w:spacing w:after="0"/>
              <w:jc w:val="right"/>
            </w:pPr>
            <w:r/>
            <w:r>
              <w:rPr>
                <w:sz w:val="16"/>
              </w:rPr>
              <w:t>0.26</w:t>
            </w:r>
          </w:p>
        </w:tc>
      </w:tr>
      <w:tr>
        <w:tc>
          <w:tcPr>
            <w:tcW w:type="dxa" w:w="3377"/>
          </w:tcPr>
          <w:p>
            <w:pPr>
              <w:spacing w:after="0"/>
              <w:jc w:val="left"/>
            </w:pPr>
            <w:r/>
            <w:r>
              <w:rPr>
                <w:sz w:val="16"/>
              </w:rPr>
              <w:t>FinBERT</w:t>
            </w:r>
          </w:p>
        </w:tc>
        <w:tc>
          <w:tcPr>
            <w:tcW w:type="dxa" w:w="1568"/>
          </w:tcPr>
          <w:p>
            <w:pPr>
              <w:spacing w:after="0"/>
              <w:jc w:val="right"/>
            </w:pPr>
            <w:r/>
            <w:r>
              <w:rPr>
                <w:sz w:val="16"/>
              </w:rPr>
              <w:t>269</w:t>
            </w:r>
          </w:p>
        </w:tc>
        <w:tc>
          <w:tcPr>
            <w:tcW w:type="dxa" w:w="1568"/>
          </w:tcPr>
          <w:p>
            <w:pPr>
              <w:spacing w:after="0"/>
              <w:jc w:val="right"/>
            </w:pPr>
            <w:r/>
            <w:r>
              <w:rPr>
                <w:sz w:val="16"/>
              </w:rPr>
              <w:t>51%</w:t>
            </w:r>
          </w:p>
        </w:tc>
        <w:tc>
          <w:tcPr>
            <w:tcW w:type="dxa" w:w="1568"/>
          </w:tcPr>
          <w:p>
            <w:pPr>
              <w:spacing w:after="0"/>
              <w:jc w:val="right"/>
            </w:pPr>
            <w:r/>
            <w:r>
              <w:rPr>
                <w:sz w:val="16"/>
              </w:rPr>
              <w:t>0.42</w:t>
            </w:r>
          </w:p>
        </w:tc>
        <w:tc>
          <w:tcPr>
            <w:tcW w:type="dxa" w:w="1568"/>
          </w:tcPr>
          <w:p>
            <w:pPr>
              <w:spacing w:after="0"/>
              <w:jc w:val="right"/>
            </w:pPr>
            <w:r/>
            <w:r>
              <w:rPr>
                <w:sz w:val="16"/>
              </w:rPr>
              <w:t>0.19</w:t>
            </w:r>
          </w:p>
        </w:tc>
      </w:tr>
      <w:tr>
        <w:tc>
          <w:tcPr>
            <w:tcW w:type="dxa" w:w="3377"/>
          </w:tcPr>
          <w:p>
            <w:pPr>
              <w:spacing w:after="0"/>
              <w:jc w:val="left"/>
            </w:pPr>
            <w:r/>
            <w:r>
              <w:rPr>
                <w:sz w:val="16"/>
              </w:rPr>
              <w:t>Dictionary</w:t>
            </w:r>
          </w:p>
        </w:tc>
        <w:tc>
          <w:tcPr>
            <w:tcW w:type="dxa" w:w="1568"/>
          </w:tcPr>
          <w:p>
            <w:pPr>
              <w:spacing w:after="0"/>
              <w:jc w:val="right"/>
            </w:pPr>
            <w:r/>
            <w:r>
              <w:rPr>
                <w:sz w:val="16"/>
              </w:rPr>
              <w:t>269</w:t>
            </w:r>
          </w:p>
        </w:tc>
        <w:tc>
          <w:tcPr>
            <w:tcW w:type="dxa" w:w="1568"/>
          </w:tcPr>
          <w:p>
            <w:pPr>
              <w:spacing w:after="0"/>
              <w:jc w:val="right"/>
            </w:pPr>
            <w:r/>
            <w:r>
              <w:rPr>
                <w:sz w:val="16"/>
              </w:rPr>
              <w:t>43%</w:t>
            </w:r>
          </w:p>
        </w:tc>
        <w:tc>
          <w:tcPr>
            <w:tcW w:type="dxa" w:w="1568"/>
          </w:tcPr>
          <w:p>
            <w:pPr>
              <w:spacing w:after="0"/>
              <w:jc w:val="right"/>
            </w:pPr>
            <w:r/>
            <w:r>
              <w:rPr>
                <w:sz w:val="16"/>
              </w:rPr>
              <w:t>0.38</w:t>
            </w:r>
          </w:p>
        </w:tc>
        <w:tc>
          <w:tcPr>
            <w:tcW w:type="dxa" w:w="1568"/>
          </w:tcPr>
          <w:p>
            <w:pPr>
              <w:spacing w:after="0"/>
              <w:jc w:val="right"/>
            </w:pPr>
            <w:r/>
            <w:r>
              <w:rPr>
                <w:sz w:val="16"/>
              </w:rPr>
              <w:t>0.16</w:t>
            </w:r>
          </w:p>
        </w:tc>
      </w:tr>
      <w:tr>
        <w:tc>
          <w:tcPr>
            <w:tcW w:type="dxa" w:w="3377"/>
          </w:tcPr>
          <w:p>
            <w:pPr>
              <w:spacing w:after="0"/>
              <w:jc w:val="left"/>
            </w:pPr>
            <w:r/>
            <w:r>
              <w:rPr>
                <w:sz w:val="16"/>
              </w:rPr>
              <w:t>TF-IDF + logistic regression (5-fold CV)</w:t>
            </w:r>
          </w:p>
        </w:tc>
        <w:tc>
          <w:tcPr>
            <w:tcW w:type="dxa" w:w="1568"/>
          </w:tcPr>
          <w:p>
            <w:pPr>
              <w:spacing w:after="0"/>
              <w:jc w:val="right"/>
            </w:pPr>
            <w:r/>
            <w:r>
              <w:rPr>
                <w:sz w:val="16"/>
              </w:rPr>
              <w:t>269</w:t>
            </w:r>
          </w:p>
        </w:tc>
        <w:tc>
          <w:tcPr>
            <w:tcW w:type="dxa" w:w="1568"/>
          </w:tcPr>
          <w:p>
            <w:pPr>
              <w:spacing w:after="0"/>
              <w:jc w:val="right"/>
            </w:pPr>
            <w:r/>
            <w:r>
              <w:rPr>
                <w:sz w:val="16"/>
              </w:rPr>
              <w:t>55%</w:t>
            </w:r>
          </w:p>
        </w:tc>
        <w:tc>
          <w:tcPr>
            <w:tcW w:type="dxa" w:w="1568"/>
          </w:tcPr>
          <w:p>
            <w:pPr>
              <w:spacing w:after="0"/>
              <w:jc w:val="right"/>
            </w:pPr>
            <w:r/>
            <w:r>
              <w:rPr>
                <w:sz w:val="16"/>
              </w:rPr>
              <w:t>0.32</w:t>
            </w:r>
          </w:p>
        </w:tc>
        <w:tc>
          <w:tcPr>
            <w:tcW w:type="dxa" w:w="1568"/>
          </w:tcPr>
          <w:p>
            <w:pPr>
              <w:spacing w:after="0"/>
              <w:jc w:val="right"/>
            </w:pPr>
            <w:r/>
            <w:r>
              <w:rPr>
                <w:sz w:val="16"/>
              </w:rPr>
              <w:t>0.01</w:t>
            </w:r>
          </w:p>
        </w:tc>
      </w:tr>
    </w:tbl>
    <w:p>
      <w:pPr>
        <w:spacing w:after="120"/>
      </w:pPr>
      <w:r>
        <w:rPr>
          <w:b w:val="0"/>
          <w:i/>
          <w:color w:val="4A5260"/>
          <w:sz w:val="16"/>
        </w:rPr>
        <w:t>TF-IDF is trained and tested on the human labels with 5-fold cross-validation (out-of-fold predictions); all other coders are zero-shot.</w:t>
      </w:r>
    </w:p>
    <w:p>
      <w:pPr>
        <w:jc w:val="both"/>
      </w:pPr>
      <w:r>
        <w:rPr>
          <w:b/>
          <w:i w:val="0"/>
        </w:rPr>
        <w:t>FINDING (validation).</w:t>
      </w:r>
      <w:r>
        <w:rPr>
          <w:b w:val="0"/>
          <w:i w:val="0"/>
        </w:rPr>
        <w:t xml:space="preserve"> Against the human labels, our AI coder is the most accurate tone measure (70%, κ = 0.45, moderate agreement), well ahead of the dictionary (43%), FinBERT (51%) and an LLM (50%). Accuracy is similar across sources (64%–80%; right-leaning news 74%, left-leaning 64%), so the partisan-slant result in Section 5.2 is not an artefact of the coder working better for one side. Relevance is the weak dimension: the AI relevance filter agrees with the human only 58% of the time (κ = 0.16), but κ understates what matters for an index: of the items our indices actually keep (keyword filter + AI gate), 98% are relevant by the human's judgement (precision), at the cost of keeping only about half of all relevant items (recall 54%). Section 6.1 re-runs the key media results with the keyword filter alone (90% precision, 100% recall). The annotator labelled 67% of relevant items negative versus 53% for the AI coder, so the AI coder, if anything, </w:t>
      </w:r>
      <w:r>
        <w:rPr>
          <w:b w:val="0"/>
          <w:i/>
        </w:rPr>
        <w:t>understates</w:t>
      </w:r>
      <w:r>
        <w:rPr>
          <w:b w:val="0"/>
          <w:i w:val="0"/>
        </w:rPr>
        <w:t xml:space="preserve"> negativity.</w:t>
      </w:r>
    </w:p>
    <w:p>
      <w:pPr>
        <w:jc w:val="both"/>
      </w:pPr>
      <w:r>
        <w:rPr>
          <w:b/>
          <w:i w:val="0"/>
        </w:rPr>
        <w:t>AI coder development (documented, not hidden).</w:t>
      </w:r>
      <w:r>
        <w:rPr>
          <w:b w:val="0"/>
          <w:i w:val="0"/>
        </w:rPr>
        <w:t xml:space="preserve"> The first tone hypotheses ('good/bad news for American households') were almost never entailed by the NLI model (98.9% of items neutral). On an 18-headline development set we then compared wordings: the generic sentiment template reached 83% but read 'inflation cools' and 'gas prices fall' as negative — exactly the household-polarity cases this study depends on. The final coder (v2) therefore combines the NLI sentiment template with a codebook polarity rule for price-direction headlines (applied to 7% of items), 94% on the development set. The development set was written by us, so this is a design check, not validation.</w:t>
      </w:r>
    </w:p>
    <w:p>
      <w:pPr>
        <w:spacing w:after="40"/>
      </w:pPr>
      <w:r>
        <w:rPr>
          <w:b/>
          <w:i w:val="0"/>
          <w:sz w:val="19"/>
        </w:rPr>
        <w:t>Table 7. Name- and source-swap tests on otherwise identical text.</w:t>
      </w:r>
    </w:p>
    <w:tbl>
      <w:tblPr>
        <w:tblStyle w:val="TableGrid"/>
        <w:tblW w:type="auto" w:w="0"/>
        <w:jc w:val="center"/>
        <w:tblLayout w:type="fixed"/>
        <w:tblLook w:firstColumn="1" w:firstRow="1" w:lastColumn="0" w:lastRow="0" w:noHBand="0" w:noVBand="1" w:val="04A0"/>
      </w:tblPr>
      <w:tblGrid>
        <w:gridCol w:w="3377"/>
        <w:gridCol w:w="1045"/>
        <w:gridCol w:w="1045"/>
        <w:gridCol w:w="1045"/>
        <w:gridCol w:w="1045"/>
        <w:gridCol w:w="1045"/>
        <w:gridCol w:w="1045"/>
      </w:tblGrid>
      <w:tr>
        <w:tc>
          <w:tcPr>
            <w:tcW w:type="dxa" w:w="3377"/>
            <w:shd w:val="clear" w:color="auto" w:fill="E8EDF4"/>
          </w:tcPr>
          <w:p>
            <w:pPr>
              <w:spacing w:after="0"/>
            </w:pPr>
            <w:r/>
            <w:r>
              <w:rPr>
                <w:b/>
                <w:sz w:val="16"/>
              </w:rPr>
              <w:t>Counterfactual test</w:t>
            </w:r>
          </w:p>
        </w:tc>
        <w:tc>
          <w:tcPr>
            <w:tcW w:type="dxa" w:w="1045"/>
            <w:shd w:val="clear" w:color="auto" w:fill="E8EDF4"/>
          </w:tcPr>
          <w:p>
            <w:pPr>
              <w:spacing w:after="0"/>
            </w:pPr>
            <w:r/>
            <w:r>
              <w:rPr>
                <w:b/>
                <w:sz w:val="16"/>
              </w:rPr>
              <w:t>N</w:t>
            </w:r>
          </w:p>
        </w:tc>
        <w:tc>
          <w:tcPr>
            <w:tcW w:type="dxa" w:w="1045"/>
            <w:shd w:val="clear" w:color="auto" w:fill="E8EDF4"/>
          </w:tcPr>
          <w:p>
            <w:pPr>
              <w:spacing w:after="0"/>
            </w:pPr>
            <w:r/>
            <w:r>
              <w:rPr>
                <w:b/>
                <w:sz w:val="16"/>
              </w:rPr>
              <w:t>Tone flips</w:t>
            </w:r>
          </w:p>
        </w:tc>
        <w:tc>
          <w:tcPr>
            <w:tcW w:type="dxa" w:w="1045"/>
            <w:shd w:val="clear" w:color="auto" w:fill="E8EDF4"/>
          </w:tcPr>
          <w:p>
            <w:pPr>
              <w:spacing w:after="0"/>
            </w:pPr>
            <w:r/>
            <w:r>
              <w:rPr>
                <w:b/>
                <w:sz w:val="16"/>
              </w:rPr>
              <w:t>|Δ score|</w:t>
            </w:r>
          </w:p>
        </w:tc>
        <w:tc>
          <w:tcPr>
            <w:tcW w:type="dxa" w:w="1045"/>
            <w:shd w:val="clear" w:color="auto" w:fill="E8EDF4"/>
          </w:tcPr>
          <w:p>
            <w:pPr>
              <w:spacing w:after="0"/>
            </w:pPr>
            <w:r/>
            <w:r>
              <w:rPr>
                <w:b/>
                <w:sz w:val="16"/>
              </w:rPr>
              <w:t>Signed Δ</w:t>
            </w:r>
          </w:p>
        </w:tc>
        <w:tc>
          <w:tcPr>
            <w:tcW w:type="dxa" w:w="1045"/>
            <w:shd w:val="clear" w:color="auto" w:fill="E8EDF4"/>
          </w:tcPr>
          <w:p>
            <w:pPr>
              <w:spacing w:after="0"/>
            </w:pPr>
            <w:r/>
            <w:r>
              <w:rPr>
                <w:b/>
                <w:sz w:val="16"/>
              </w:rPr>
              <w:t>Attribution flips</w:t>
            </w:r>
          </w:p>
        </w:tc>
        <w:tc>
          <w:tcPr>
            <w:tcW w:type="dxa" w:w="1045"/>
            <w:shd w:val="clear" w:color="auto" w:fill="E8EDF4"/>
          </w:tcPr>
          <w:p>
            <w:pPr>
              <w:spacing w:after="0"/>
            </w:pPr>
            <w:r/>
            <w:r>
              <w:rPr>
                <w:b/>
                <w:sz w:val="16"/>
              </w:rPr>
              <w:t>FinBERT flips</w:t>
            </w:r>
          </w:p>
        </w:tc>
      </w:tr>
      <w:tr>
        <w:tc>
          <w:tcPr>
            <w:tcW w:type="dxa" w:w="3377"/>
          </w:tcPr>
          <w:p>
            <w:pPr>
              <w:spacing w:after="0"/>
              <w:jc w:val="left"/>
            </w:pPr>
            <w:r/>
            <w:r>
              <w:rPr>
                <w:sz w:val="16"/>
              </w:rPr>
              <w:t>party/name swap</w:t>
            </w:r>
          </w:p>
        </w:tc>
        <w:tc>
          <w:tcPr>
            <w:tcW w:type="dxa" w:w="1045"/>
          </w:tcPr>
          <w:p>
            <w:pPr>
              <w:spacing w:after="0"/>
              <w:jc w:val="right"/>
            </w:pPr>
            <w:r/>
            <w:r>
              <w:rPr>
                <w:sz w:val="16"/>
              </w:rPr>
              <w:t>367</w:t>
            </w:r>
          </w:p>
        </w:tc>
        <w:tc>
          <w:tcPr>
            <w:tcW w:type="dxa" w:w="1045"/>
          </w:tcPr>
          <w:p>
            <w:pPr>
              <w:spacing w:after="0"/>
              <w:jc w:val="right"/>
            </w:pPr>
            <w:r/>
            <w:r>
              <w:rPr>
                <w:sz w:val="16"/>
              </w:rPr>
              <w:t>7.1%</w:t>
            </w:r>
          </w:p>
        </w:tc>
        <w:tc>
          <w:tcPr>
            <w:tcW w:type="dxa" w:w="1045"/>
          </w:tcPr>
          <w:p>
            <w:pPr>
              <w:spacing w:after="0"/>
              <w:jc w:val="right"/>
            </w:pPr>
            <w:r/>
            <w:r>
              <w:rPr>
                <w:sz w:val="16"/>
              </w:rPr>
              <w:t>0.082</w:t>
            </w:r>
          </w:p>
        </w:tc>
        <w:tc>
          <w:tcPr>
            <w:tcW w:type="dxa" w:w="1045"/>
          </w:tcPr>
          <w:p>
            <w:pPr>
              <w:spacing w:after="0"/>
              <w:jc w:val="right"/>
            </w:pPr>
            <w:r/>
            <w:r>
              <w:rPr>
                <w:sz w:val="16"/>
              </w:rPr>
              <w:t>–</w:t>
            </w:r>
          </w:p>
        </w:tc>
        <w:tc>
          <w:tcPr>
            <w:tcW w:type="dxa" w:w="1045"/>
          </w:tcPr>
          <w:p>
            <w:pPr>
              <w:spacing w:after="0"/>
              <w:jc w:val="right"/>
            </w:pPr>
            <w:r/>
            <w:r>
              <w:rPr>
                <w:sz w:val="16"/>
              </w:rPr>
              <w:t>7.4%</w:t>
            </w:r>
          </w:p>
        </w:tc>
        <w:tc>
          <w:tcPr>
            <w:tcW w:type="dxa" w:w="1045"/>
          </w:tcPr>
          <w:p>
            <w:pPr>
              <w:spacing w:after="0"/>
              <w:jc w:val="right"/>
            </w:pPr>
            <w:r/>
            <w:r>
              <w:rPr>
                <w:sz w:val="16"/>
              </w:rPr>
              <w:t>5.7%</w:t>
            </w:r>
          </w:p>
        </w:tc>
      </w:tr>
      <w:tr>
        <w:tc>
          <w:tcPr>
            <w:tcW w:type="dxa" w:w="3377"/>
          </w:tcPr>
          <w:p>
            <w:pPr>
              <w:spacing w:after="0"/>
              <w:jc w:val="left"/>
            </w:pPr>
            <w:r/>
            <w:r>
              <w:rPr>
                <w:sz w:val="16"/>
              </w:rPr>
              <w:t>source label 'Fox News:' vs none</w:t>
            </w:r>
          </w:p>
        </w:tc>
        <w:tc>
          <w:tcPr>
            <w:tcW w:type="dxa" w:w="1045"/>
          </w:tcPr>
          <w:p>
            <w:pPr>
              <w:spacing w:after="0"/>
              <w:jc w:val="right"/>
            </w:pPr>
            <w:r/>
            <w:r>
              <w:rPr>
                <w:sz w:val="16"/>
              </w:rPr>
              <w:t>400</w:t>
            </w:r>
          </w:p>
        </w:tc>
        <w:tc>
          <w:tcPr>
            <w:tcW w:type="dxa" w:w="1045"/>
          </w:tcPr>
          <w:p>
            <w:pPr>
              <w:spacing w:after="0"/>
              <w:jc w:val="right"/>
            </w:pPr>
            <w:r/>
            <w:r>
              <w:rPr>
                <w:sz w:val="16"/>
              </w:rPr>
              <w:t>9.5%</w:t>
            </w:r>
          </w:p>
        </w:tc>
        <w:tc>
          <w:tcPr>
            <w:tcW w:type="dxa" w:w="1045"/>
          </w:tcPr>
          <w:p>
            <w:pPr>
              <w:spacing w:after="0"/>
              <w:jc w:val="right"/>
            </w:pPr>
            <w:r/>
            <w:r>
              <w:rPr>
                <w:sz w:val="16"/>
              </w:rPr>
              <w:t>0.105</w:t>
            </w:r>
          </w:p>
        </w:tc>
        <w:tc>
          <w:tcPr>
            <w:tcW w:type="dxa" w:w="1045"/>
          </w:tcPr>
          <w:p>
            <w:pPr>
              <w:spacing w:after="0"/>
              <w:jc w:val="right"/>
            </w:pPr>
            <w:r/>
            <w:r>
              <w:rPr>
                <w:sz w:val="16"/>
              </w:rPr>
              <w:t>-0.043</w:t>
            </w:r>
          </w:p>
        </w:tc>
        <w:tc>
          <w:tcPr>
            <w:tcW w:type="dxa" w:w="1045"/>
          </w:tcPr>
          <w:p>
            <w:pPr>
              <w:spacing w:after="0"/>
              <w:jc w:val="right"/>
            </w:pPr>
            <w:r/>
            <w:r>
              <w:rPr>
                <w:sz w:val="16"/>
              </w:rPr>
              <w:t>3.0%</w:t>
            </w:r>
          </w:p>
        </w:tc>
        <w:tc>
          <w:tcPr>
            <w:tcW w:type="dxa" w:w="1045"/>
          </w:tcPr>
          <w:p>
            <w:pPr>
              <w:spacing w:after="0"/>
              <w:jc w:val="right"/>
            </w:pPr>
            <w:r/>
            <w:r>
              <w:rPr>
                <w:sz w:val="16"/>
              </w:rPr>
              <w:t>5.8%</w:t>
            </w:r>
          </w:p>
        </w:tc>
      </w:tr>
      <w:tr>
        <w:tc>
          <w:tcPr>
            <w:tcW w:type="dxa" w:w="3377"/>
          </w:tcPr>
          <w:p>
            <w:pPr>
              <w:spacing w:after="0"/>
              <w:jc w:val="left"/>
            </w:pPr>
            <w:r/>
            <w:r>
              <w:rPr>
                <w:sz w:val="16"/>
              </w:rPr>
              <w:t>source label 'CNN:' vs none</w:t>
            </w:r>
          </w:p>
        </w:tc>
        <w:tc>
          <w:tcPr>
            <w:tcW w:type="dxa" w:w="1045"/>
          </w:tcPr>
          <w:p>
            <w:pPr>
              <w:spacing w:after="0"/>
              <w:jc w:val="right"/>
            </w:pPr>
            <w:r/>
            <w:r>
              <w:rPr>
                <w:sz w:val="16"/>
              </w:rPr>
              <w:t>400</w:t>
            </w:r>
          </w:p>
        </w:tc>
        <w:tc>
          <w:tcPr>
            <w:tcW w:type="dxa" w:w="1045"/>
          </w:tcPr>
          <w:p>
            <w:pPr>
              <w:spacing w:after="0"/>
              <w:jc w:val="right"/>
            </w:pPr>
            <w:r/>
            <w:r>
              <w:rPr>
                <w:sz w:val="16"/>
              </w:rPr>
              <w:t>6.0%</w:t>
            </w:r>
          </w:p>
        </w:tc>
        <w:tc>
          <w:tcPr>
            <w:tcW w:type="dxa" w:w="1045"/>
          </w:tcPr>
          <w:p>
            <w:pPr>
              <w:spacing w:after="0"/>
              <w:jc w:val="right"/>
            </w:pPr>
            <w:r/>
            <w:r>
              <w:rPr>
                <w:sz w:val="16"/>
              </w:rPr>
              <w:t>0.076</w:t>
            </w:r>
          </w:p>
        </w:tc>
        <w:tc>
          <w:tcPr>
            <w:tcW w:type="dxa" w:w="1045"/>
          </w:tcPr>
          <w:p>
            <w:pPr>
              <w:spacing w:after="0"/>
              <w:jc w:val="right"/>
            </w:pPr>
            <w:r/>
            <w:r>
              <w:rPr>
                <w:sz w:val="16"/>
              </w:rPr>
              <w:t>+0.010</w:t>
            </w:r>
          </w:p>
        </w:tc>
        <w:tc>
          <w:tcPr>
            <w:tcW w:type="dxa" w:w="1045"/>
          </w:tcPr>
          <w:p>
            <w:pPr>
              <w:spacing w:after="0"/>
              <w:jc w:val="right"/>
            </w:pPr>
            <w:r/>
            <w:r>
              <w:rPr>
                <w:sz w:val="16"/>
              </w:rPr>
              <w:t>3.2%</w:t>
            </w:r>
          </w:p>
        </w:tc>
        <w:tc>
          <w:tcPr>
            <w:tcW w:type="dxa" w:w="1045"/>
          </w:tcPr>
          <w:p>
            <w:pPr>
              <w:spacing w:after="0"/>
              <w:jc w:val="right"/>
            </w:pPr>
            <w:r/>
            <w:r>
              <w:rPr>
                <w:sz w:val="16"/>
              </w:rPr>
              <w:t>5.8%</w:t>
            </w:r>
          </w:p>
        </w:tc>
      </w:tr>
      <w:tr>
        <w:tc>
          <w:tcPr>
            <w:tcW w:type="dxa" w:w="3377"/>
          </w:tcPr>
          <w:p>
            <w:pPr>
              <w:spacing w:after="0"/>
              <w:jc w:val="left"/>
            </w:pPr>
            <w:r/>
            <w:r>
              <w:rPr>
                <w:sz w:val="16"/>
              </w:rPr>
              <w:t>Fox vs CNN label (direct)</w:t>
            </w:r>
          </w:p>
        </w:tc>
        <w:tc>
          <w:tcPr>
            <w:tcW w:type="dxa" w:w="1045"/>
          </w:tcPr>
          <w:p>
            <w:pPr>
              <w:spacing w:after="0"/>
              <w:jc w:val="right"/>
            </w:pPr>
            <w:r/>
            <w:r>
              <w:rPr>
                <w:sz w:val="16"/>
              </w:rPr>
              <w:t>400</w:t>
            </w:r>
          </w:p>
        </w:tc>
        <w:tc>
          <w:tcPr>
            <w:tcW w:type="dxa" w:w="1045"/>
          </w:tcPr>
          <w:p>
            <w:pPr>
              <w:spacing w:after="0"/>
              <w:jc w:val="right"/>
            </w:pPr>
            <w:r/>
            <w:r>
              <w:rPr>
                <w:sz w:val="16"/>
              </w:rPr>
              <w:t>6.2%</w:t>
            </w:r>
          </w:p>
        </w:tc>
        <w:tc>
          <w:tcPr>
            <w:tcW w:type="dxa" w:w="1045"/>
          </w:tcPr>
          <w:p>
            <w:pPr>
              <w:spacing w:after="0"/>
              <w:jc w:val="right"/>
            </w:pPr>
            <w:r/>
            <w:r>
              <w:rPr>
                <w:sz w:val="16"/>
              </w:rPr>
              <w:t>–</w:t>
            </w:r>
          </w:p>
        </w:tc>
        <w:tc>
          <w:tcPr>
            <w:tcW w:type="dxa" w:w="1045"/>
          </w:tcPr>
          <w:p>
            <w:pPr>
              <w:spacing w:after="0"/>
              <w:jc w:val="right"/>
            </w:pPr>
            <w:r/>
            <w:r>
              <w:rPr>
                <w:sz w:val="16"/>
              </w:rPr>
              <w:t>-0.053</w:t>
            </w:r>
          </w:p>
        </w:tc>
        <w:tc>
          <w:tcPr>
            <w:tcW w:type="dxa" w:w="1045"/>
          </w:tcPr>
          <w:p>
            <w:pPr>
              <w:spacing w:after="0"/>
              <w:jc w:val="right"/>
            </w:pPr>
            <w:r/>
            <w:r>
              <w:rPr>
                <w:sz w:val="16"/>
              </w:rPr>
              <w:t>–</w:t>
            </w:r>
          </w:p>
        </w:tc>
        <w:tc>
          <w:tcPr>
            <w:tcW w:type="dxa" w:w="1045"/>
          </w:tcPr>
          <w:p>
            <w:pPr>
              <w:spacing w:after="0"/>
              <w:jc w:val="right"/>
            </w:pPr>
            <w:r/>
            <w:r>
              <w:rPr>
                <w:sz w:val="16"/>
              </w:rPr>
              <w:t>–</w:t>
            </w:r>
          </w:p>
        </w:tc>
      </w:tr>
    </w:tbl>
    <w:p>
      <w:pPr>
        <w:spacing w:after="120"/>
      </w:pPr>
      <w:r>
        <w:rPr>
          <w:b w:val="0"/>
          <w:i/>
          <w:color w:val="4A5260"/>
          <w:sz w:val="16"/>
        </w:rPr>
        <w:t>Party/name swap: Biden↔Trump, Democrats↔Republicans, etc. Source test: prefixing 'Fox News:' or 'CNN:' to the same headline. Non-zero flip rates measure the coder's sensitivity to political cues that should be irrelevant to economic tone.</w:t>
      </w:r>
    </w:p>
    <w:p>
      <w:pPr>
        <w:pStyle w:val="Heading2"/>
      </w:pPr>
      <w:r>
        <w:t>5.2 Bias benchmarks</w:t>
      </w:r>
    </w:p>
    <w:p>
      <w:pPr>
        <w:jc w:val="both"/>
      </w:pPr>
      <w:r>
        <w:rPr>
          <w:b/>
          <w:i w:val="0"/>
        </w:rPr>
        <w:t>B1 — Negativity asymmetry in supply.</w:t>
      </w:r>
      <w:r>
        <w:rPr>
          <w:b w:val="0"/>
          <w:i w:val="0"/>
        </w:rPr>
        <w:t xml:space="preserve"> Benchmark: equal-sized good and bad macro news (real-time changes in U-3, inflation and growth, sign-aligned). Monthly AI net tone responds +0.062 per s.d. of good news and -0.036 per s.d. of bad news (test of equality p = 0.01; N = 117). </w:t>
      </w:r>
      <w:r>
        <w:rPr>
          <w:b/>
          <w:i w:val="0"/>
        </w:rPr>
        <w:t>FINDING:</w:t>
      </w:r>
      <w:r>
        <w:rPr>
          <w:b w:val="0"/>
          <w:i w:val="0"/>
        </w:rPr>
        <w:t xml:space="preserve"> the asymmetry runs the </w:t>
      </w:r>
      <w:r>
        <w:rPr>
          <w:b w:val="0"/>
          <w:i/>
        </w:rPr>
        <w:t>other</w:t>
      </w:r>
      <w:r>
        <w:rPr>
          <w:b w:val="0"/>
          <w:i w:val="0"/>
        </w:rPr>
        <w:t xml:space="preserve"> way — headline tone responds more to good news than to bad news — so there is no evidence of negativity bias in coverage supply relative to this benchmark (FinBERT and dictionary tone show no significant asymmetry either).</w:t>
      </w:r>
    </w:p>
    <w:p>
      <w:pPr>
        <w:jc w:val="both"/>
      </w:pPr>
      <w:r>
        <w:rPr>
          <w:b/>
          <w:i w:val="0"/>
        </w:rPr>
        <w:t>B2 — Selective salience.</w:t>
      </w:r>
      <w:r>
        <w:rPr>
          <w:b w:val="0"/>
          <w:i w:val="0"/>
        </w:rPr>
        <w:t xml:space="preserve"> Benchmark: the direction of the latest inflation release. Among inflation headlines, the share about inflation </w:t>
      </w:r>
      <w:r>
        <w:rPr>
          <w:b w:val="0"/>
          <w:i/>
        </w:rPr>
        <w:t>falling</w:t>
      </w:r>
      <w:r>
        <w:rPr>
          <w:b w:val="0"/>
          <w:i w:val="0"/>
        </w:rPr>
        <w:t xml:space="preserve"> is 25% in months when the latest release showed inflation rising and 31% when it showed inflation falling (difference p = 0.007). Coverage tracks the direction of the data.</w:t>
      </w:r>
    </w:p>
    <w:p>
      <w:pPr>
        <w:jc w:val="both"/>
      </w:pPr>
      <w:r>
        <w:rPr>
          <w:b/>
          <w:i w:val="0"/>
        </w:rPr>
        <w:t>B3 — Partisan slant.</w:t>
      </w:r>
      <w:r>
        <w:rPr>
          <w:b w:val="0"/>
          <w:i w:val="0"/>
        </w:rPr>
        <w:t xml:space="preserve"> Benchmark: the </w:t>
      </w:r>
      <w:r>
        <w:rPr>
          <w:b w:val="0"/>
          <w:i/>
        </w:rPr>
        <w:t>same month</w:t>
      </w:r>
      <w:r>
        <w:rPr>
          <w:b w:val="0"/>
          <w:i w:val="0"/>
        </w:rPr>
        <w:t xml:space="preserve"> across outlets (month fixed effects hold the facts constant) and the </w:t>
      </w:r>
      <w:r>
        <w:rPr>
          <w:b w:val="0"/>
          <w:i/>
        </w:rPr>
        <w:t>same outlet</w:t>
      </w:r>
      <w:r>
        <w:rPr>
          <w:b w:val="0"/>
          <w:i w:val="0"/>
        </w:rPr>
        <w:t xml:space="preserve"> across presidencies (outlet fixed effects). The difference-in-differences coefficient (right-leaning × Democratic president) on net tone is -0.426 (SE 0.050, p = 0.000, N = 6,408). </w:t>
      </w:r>
      <w:r>
        <w:rPr>
          <w:b/>
          <w:i w:val="0"/>
        </w:rPr>
        <w:t>FINDING:</w:t>
      </w:r>
      <w:r>
        <w:rPr>
          <w:b w:val="0"/>
          <w:i w:val="0"/>
        </w:rPr>
        <w:t xml:space="preserve"> right-leaning outlets' economic tone is measurably more negative under a Democratic president relative to other outlets — partisan slant in framing, not just in volume.</w:t>
      </w:r>
    </w:p>
    <w:p>
      <w:pPr>
        <w:jc w:val="both"/>
      </w:pPr>
      <w:r>
        <w:rPr>
          <w:b/>
          <w:i w:val="0"/>
        </w:rPr>
        <w:t>B4 — Excess negativity.</w:t>
      </w:r>
      <w:r>
        <w:rPr>
          <w:b w:val="0"/>
          <w:i w:val="0"/>
        </w:rPr>
        <w:t xml:space="preserve"> Regressing monthly tone on fundamentals (U-3, inflation, growth, cumulative inflation, mortgage rates) gives R² = 0.09; the residual ('excess negativity') is the candidate bias series carried into Section 6.</w:t>
      </w:r>
    </w:p>
    <w:p>
      <w:pPr>
        <w:spacing w:after="40"/>
      </w:pPr>
      <w:r>
        <w:rPr>
          <w:b/>
          <w:i w:val="0"/>
          <w:sz w:val="19"/>
        </w:rPr>
        <w:t>Table 8. Factual calibration: numeric claims vs official data public on the publication date.</w:t>
      </w:r>
    </w:p>
    <w:tbl>
      <w:tblPr>
        <w:tblStyle w:val="TableGrid"/>
        <w:tblW w:type="auto" w:w="0"/>
        <w:jc w:val="center"/>
        <w:tblLayout w:type="fixed"/>
        <w:tblLook w:firstColumn="1" w:firstRow="1" w:lastColumn="0" w:lastRow="0" w:noHBand="0" w:noVBand="1" w:val="04A0"/>
      </w:tblPr>
      <w:tblGrid>
        <w:gridCol w:w="3377"/>
        <w:gridCol w:w="1254"/>
        <w:gridCol w:w="1254"/>
        <w:gridCol w:w="1254"/>
        <w:gridCol w:w="1254"/>
        <w:gridCol w:w="1254"/>
      </w:tblGrid>
      <w:tr>
        <w:tc>
          <w:tcPr>
            <w:tcW w:type="dxa" w:w="3377"/>
            <w:shd w:val="clear" w:color="auto" w:fill="E8EDF4"/>
          </w:tcPr>
          <w:p>
            <w:pPr>
              <w:spacing w:after="0"/>
            </w:pPr>
            <w:r/>
            <w:r>
              <w:rPr>
                <w:b/>
                <w:sz w:val="16"/>
              </w:rPr>
              <w:t>Indicator</w:t>
            </w:r>
          </w:p>
        </w:tc>
        <w:tc>
          <w:tcPr>
            <w:tcW w:type="dxa" w:w="1254"/>
            <w:shd w:val="clear" w:color="auto" w:fill="E8EDF4"/>
          </w:tcPr>
          <w:p>
            <w:pPr>
              <w:spacing w:after="0"/>
            </w:pPr>
            <w:r/>
            <w:r>
              <w:rPr>
                <w:b/>
                <w:sz w:val="16"/>
              </w:rPr>
              <w:t>Claims</w:t>
            </w:r>
          </w:p>
        </w:tc>
        <w:tc>
          <w:tcPr>
            <w:tcW w:type="dxa" w:w="1254"/>
            <w:shd w:val="clear" w:color="auto" w:fill="E8EDF4"/>
          </w:tcPr>
          <w:p>
            <w:pPr>
              <w:spacing w:after="0"/>
            </w:pPr>
            <w:r/>
            <w:r>
              <w:rPr>
                <w:b/>
                <w:sz w:val="16"/>
              </w:rPr>
              <w:t>Calibrated</w:t>
            </w:r>
          </w:p>
        </w:tc>
        <w:tc>
          <w:tcPr>
            <w:tcW w:type="dxa" w:w="1254"/>
            <w:shd w:val="clear" w:color="auto" w:fill="E8EDF4"/>
          </w:tcPr>
          <w:p>
            <w:pPr>
              <w:spacing w:after="0"/>
            </w:pPr>
            <w:r/>
            <w:r>
              <w:rPr>
                <w:b/>
                <w:sz w:val="16"/>
              </w:rPr>
              <w:t>Definition error</w:t>
            </w:r>
          </w:p>
        </w:tc>
        <w:tc>
          <w:tcPr>
            <w:tcW w:type="dxa" w:w="1254"/>
            <w:shd w:val="clear" w:color="auto" w:fill="E8EDF4"/>
          </w:tcPr>
          <w:p>
            <w:pPr>
              <w:spacing w:after="0"/>
            </w:pPr>
            <w:r/>
            <w:r>
              <w:rPr>
                <w:b/>
                <w:sz w:val="16"/>
              </w:rPr>
              <w:t>Uncalibrated</w:t>
            </w:r>
          </w:p>
        </w:tc>
        <w:tc>
          <w:tcPr>
            <w:tcW w:type="dxa" w:w="1254"/>
            <w:shd w:val="clear" w:color="auto" w:fill="E8EDF4"/>
          </w:tcPr>
          <w:p>
            <w:pPr>
              <w:spacing w:after="0"/>
            </w:pPr>
            <w:r/>
            <w:r>
              <w:rPr>
                <w:b/>
                <w:sz w:val="16"/>
              </w:rPr>
              <w:t>Median error, bad-news direction</w:t>
            </w:r>
          </w:p>
        </w:tc>
      </w:tr>
      <w:tr>
        <w:tc>
          <w:tcPr>
            <w:tcW w:type="dxa" w:w="3377"/>
          </w:tcPr>
          <w:p>
            <w:pPr>
              <w:spacing w:after="0"/>
              <w:jc w:val="left"/>
            </w:pPr>
            <w:r/>
            <w:r>
              <w:rPr>
                <w:sz w:val="16"/>
              </w:rPr>
              <w:t>cpi</w:t>
            </w:r>
          </w:p>
        </w:tc>
        <w:tc>
          <w:tcPr>
            <w:tcW w:type="dxa" w:w="1254"/>
          </w:tcPr>
          <w:p>
            <w:pPr>
              <w:spacing w:after="0"/>
              <w:jc w:val="right"/>
            </w:pPr>
            <w:r/>
            <w:r>
              <w:rPr>
                <w:sz w:val="16"/>
              </w:rPr>
              <w:t>479</w:t>
            </w:r>
          </w:p>
        </w:tc>
        <w:tc>
          <w:tcPr>
            <w:tcW w:type="dxa" w:w="1254"/>
          </w:tcPr>
          <w:p>
            <w:pPr>
              <w:spacing w:after="0"/>
              <w:jc w:val="right"/>
            </w:pPr>
            <w:r/>
            <w:r>
              <w:rPr>
                <w:sz w:val="16"/>
              </w:rPr>
              <w:t>53%</w:t>
            </w:r>
          </w:p>
        </w:tc>
        <w:tc>
          <w:tcPr>
            <w:tcW w:type="dxa" w:w="1254"/>
          </w:tcPr>
          <w:p>
            <w:pPr>
              <w:spacing w:after="0"/>
              <w:jc w:val="right"/>
            </w:pPr>
            <w:r/>
            <w:r>
              <w:rPr>
                <w:sz w:val="16"/>
              </w:rPr>
              <w:t>9%</w:t>
            </w:r>
          </w:p>
        </w:tc>
        <w:tc>
          <w:tcPr>
            <w:tcW w:type="dxa" w:w="1254"/>
          </w:tcPr>
          <w:p>
            <w:pPr>
              <w:spacing w:after="0"/>
              <w:jc w:val="right"/>
            </w:pPr>
            <w:r/>
            <w:r>
              <w:rPr>
                <w:sz w:val="16"/>
              </w:rPr>
              <w:t>38%</w:t>
            </w:r>
          </w:p>
        </w:tc>
        <w:tc>
          <w:tcPr>
            <w:tcW w:type="dxa" w:w="1254"/>
          </w:tcPr>
          <w:p>
            <w:pPr>
              <w:spacing w:after="0"/>
              <w:jc w:val="right"/>
            </w:pPr>
            <w:r/>
            <w:r>
              <w:rPr>
                <w:sz w:val="16"/>
              </w:rPr>
              <w:t>-0.01</w:t>
            </w:r>
          </w:p>
        </w:tc>
      </w:tr>
      <w:tr>
        <w:tc>
          <w:tcPr>
            <w:tcW w:type="dxa" w:w="3377"/>
          </w:tcPr>
          <w:p>
            <w:pPr>
              <w:spacing w:after="0"/>
              <w:jc w:val="left"/>
            </w:pPr>
            <w:r/>
            <w:r>
              <w:rPr>
                <w:sz w:val="16"/>
              </w:rPr>
              <w:t>gdp</w:t>
            </w:r>
          </w:p>
        </w:tc>
        <w:tc>
          <w:tcPr>
            <w:tcW w:type="dxa" w:w="1254"/>
          </w:tcPr>
          <w:p>
            <w:pPr>
              <w:spacing w:after="0"/>
              <w:jc w:val="right"/>
            </w:pPr>
            <w:r/>
            <w:r>
              <w:rPr>
                <w:sz w:val="16"/>
              </w:rPr>
              <w:t>158</w:t>
            </w:r>
          </w:p>
        </w:tc>
        <w:tc>
          <w:tcPr>
            <w:tcW w:type="dxa" w:w="1254"/>
          </w:tcPr>
          <w:p>
            <w:pPr>
              <w:spacing w:after="0"/>
              <w:jc w:val="right"/>
            </w:pPr>
            <w:r/>
            <w:r>
              <w:rPr>
                <w:sz w:val="16"/>
              </w:rPr>
              <w:t>56%</w:t>
            </w:r>
          </w:p>
        </w:tc>
        <w:tc>
          <w:tcPr>
            <w:tcW w:type="dxa" w:w="1254"/>
          </w:tcPr>
          <w:p>
            <w:pPr>
              <w:spacing w:after="0"/>
              <w:jc w:val="right"/>
            </w:pPr>
            <w:r/>
            <w:r>
              <w:rPr>
                <w:sz w:val="16"/>
              </w:rPr>
              <w:t>3%</w:t>
            </w:r>
          </w:p>
        </w:tc>
        <w:tc>
          <w:tcPr>
            <w:tcW w:type="dxa" w:w="1254"/>
          </w:tcPr>
          <w:p>
            <w:pPr>
              <w:spacing w:after="0"/>
              <w:jc w:val="right"/>
            </w:pPr>
            <w:r/>
            <w:r>
              <w:rPr>
                <w:sz w:val="16"/>
              </w:rPr>
              <w:t>42%</w:t>
            </w:r>
          </w:p>
        </w:tc>
        <w:tc>
          <w:tcPr>
            <w:tcW w:type="dxa" w:w="1254"/>
          </w:tcPr>
          <w:p>
            <w:pPr>
              <w:spacing w:after="0"/>
              <w:jc w:val="right"/>
            </w:pPr>
            <w:r/>
            <w:r>
              <w:rPr>
                <w:sz w:val="16"/>
              </w:rPr>
              <w:t>-0.01</w:t>
            </w:r>
          </w:p>
        </w:tc>
      </w:tr>
      <w:tr>
        <w:tc>
          <w:tcPr>
            <w:tcW w:type="dxa" w:w="3377"/>
          </w:tcPr>
          <w:p>
            <w:pPr>
              <w:spacing w:after="0"/>
              <w:jc w:val="left"/>
            </w:pPr>
            <w:r/>
            <w:r>
              <w:rPr>
                <w:sz w:val="16"/>
              </w:rPr>
              <w:t>mortgage</w:t>
            </w:r>
          </w:p>
        </w:tc>
        <w:tc>
          <w:tcPr>
            <w:tcW w:type="dxa" w:w="1254"/>
          </w:tcPr>
          <w:p>
            <w:pPr>
              <w:spacing w:after="0"/>
              <w:jc w:val="right"/>
            </w:pPr>
            <w:r/>
            <w:r>
              <w:rPr>
                <w:sz w:val="16"/>
              </w:rPr>
              <w:t>120</w:t>
            </w:r>
          </w:p>
        </w:tc>
        <w:tc>
          <w:tcPr>
            <w:tcW w:type="dxa" w:w="1254"/>
          </w:tcPr>
          <w:p>
            <w:pPr>
              <w:spacing w:after="0"/>
              <w:jc w:val="right"/>
            </w:pPr>
            <w:r/>
            <w:r>
              <w:rPr>
                <w:sz w:val="16"/>
              </w:rPr>
              <w:t>76%</w:t>
            </w:r>
          </w:p>
        </w:tc>
        <w:tc>
          <w:tcPr>
            <w:tcW w:type="dxa" w:w="1254"/>
          </w:tcPr>
          <w:p>
            <w:pPr>
              <w:spacing w:after="0"/>
              <w:jc w:val="right"/>
            </w:pPr>
            <w:r/>
            <w:r>
              <w:rPr>
                <w:sz w:val="16"/>
              </w:rPr>
              <w:t>0%</w:t>
            </w:r>
          </w:p>
        </w:tc>
        <w:tc>
          <w:tcPr>
            <w:tcW w:type="dxa" w:w="1254"/>
          </w:tcPr>
          <w:p>
            <w:pPr>
              <w:spacing w:after="0"/>
              <w:jc w:val="right"/>
            </w:pPr>
            <w:r/>
            <w:r>
              <w:rPr>
                <w:sz w:val="16"/>
              </w:rPr>
              <w:t>24%</w:t>
            </w:r>
          </w:p>
        </w:tc>
        <w:tc>
          <w:tcPr>
            <w:tcW w:type="dxa" w:w="1254"/>
          </w:tcPr>
          <w:p>
            <w:pPr>
              <w:spacing w:after="0"/>
              <w:jc w:val="right"/>
            </w:pPr>
            <w:r/>
            <w:r>
              <w:rPr>
                <w:sz w:val="16"/>
              </w:rPr>
              <w:t>+0.00</w:t>
            </w:r>
          </w:p>
        </w:tc>
      </w:tr>
      <w:tr>
        <w:tc>
          <w:tcPr>
            <w:tcW w:type="dxa" w:w="3377"/>
          </w:tcPr>
          <w:p>
            <w:pPr>
              <w:spacing w:after="0"/>
              <w:jc w:val="left"/>
            </w:pPr>
            <w:r/>
            <w:r>
              <w:rPr>
                <w:sz w:val="16"/>
              </w:rPr>
              <w:t>payrolls</w:t>
            </w:r>
          </w:p>
        </w:tc>
        <w:tc>
          <w:tcPr>
            <w:tcW w:type="dxa" w:w="1254"/>
          </w:tcPr>
          <w:p>
            <w:pPr>
              <w:spacing w:after="0"/>
              <w:jc w:val="right"/>
            </w:pPr>
            <w:r/>
            <w:r>
              <w:rPr>
                <w:sz w:val="16"/>
              </w:rPr>
              <w:t>173</w:t>
            </w:r>
          </w:p>
        </w:tc>
        <w:tc>
          <w:tcPr>
            <w:tcW w:type="dxa" w:w="1254"/>
          </w:tcPr>
          <w:p>
            <w:pPr>
              <w:spacing w:after="0"/>
              <w:jc w:val="right"/>
            </w:pPr>
            <w:r/>
            <w:r>
              <w:rPr>
                <w:sz w:val="16"/>
              </w:rPr>
              <w:t>60%</w:t>
            </w:r>
          </w:p>
        </w:tc>
        <w:tc>
          <w:tcPr>
            <w:tcW w:type="dxa" w:w="1254"/>
          </w:tcPr>
          <w:p>
            <w:pPr>
              <w:spacing w:after="0"/>
              <w:jc w:val="right"/>
            </w:pPr>
            <w:r/>
            <w:r>
              <w:rPr>
                <w:sz w:val="16"/>
              </w:rPr>
              <w:t>0%</w:t>
            </w:r>
          </w:p>
        </w:tc>
        <w:tc>
          <w:tcPr>
            <w:tcW w:type="dxa" w:w="1254"/>
          </w:tcPr>
          <w:p>
            <w:pPr>
              <w:spacing w:after="0"/>
              <w:jc w:val="right"/>
            </w:pPr>
            <w:r/>
            <w:r>
              <w:rPr>
                <w:sz w:val="16"/>
              </w:rPr>
              <w:t>40%</w:t>
            </w:r>
          </w:p>
        </w:tc>
        <w:tc>
          <w:tcPr>
            <w:tcW w:type="dxa" w:w="1254"/>
          </w:tcPr>
          <w:p>
            <w:pPr>
              <w:spacing w:after="0"/>
              <w:jc w:val="right"/>
            </w:pPr>
            <w:r/>
            <w:r>
              <w:rPr>
                <w:sz w:val="16"/>
              </w:rPr>
              <w:t>+6.00</w:t>
            </w:r>
          </w:p>
        </w:tc>
      </w:tr>
      <w:tr>
        <w:tc>
          <w:tcPr>
            <w:tcW w:type="dxa" w:w="3377"/>
          </w:tcPr>
          <w:p>
            <w:pPr>
              <w:spacing w:after="0"/>
              <w:jc w:val="left"/>
            </w:pPr>
            <w:r/>
            <w:r>
              <w:rPr>
                <w:sz w:val="16"/>
              </w:rPr>
              <w:t>pce</w:t>
            </w:r>
          </w:p>
        </w:tc>
        <w:tc>
          <w:tcPr>
            <w:tcW w:type="dxa" w:w="1254"/>
          </w:tcPr>
          <w:p>
            <w:pPr>
              <w:spacing w:after="0"/>
              <w:jc w:val="right"/>
            </w:pPr>
            <w:r/>
            <w:r>
              <w:rPr>
                <w:sz w:val="16"/>
              </w:rPr>
              <w:t>2</w:t>
            </w:r>
          </w:p>
        </w:tc>
        <w:tc>
          <w:tcPr>
            <w:tcW w:type="dxa" w:w="1254"/>
          </w:tcPr>
          <w:p>
            <w:pPr>
              <w:spacing w:after="0"/>
              <w:jc w:val="right"/>
            </w:pPr>
            <w:r/>
            <w:r>
              <w:rPr>
                <w:sz w:val="16"/>
              </w:rPr>
              <w:t>0%</w:t>
            </w:r>
          </w:p>
        </w:tc>
        <w:tc>
          <w:tcPr>
            <w:tcW w:type="dxa" w:w="1254"/>
          </w:tcPr>
          <w:p>
            <w:pPr>
              <w:spacing w:after="0"/>
              <w:jc w:val="right"/>
            </w:pPr>
            <w:r/>
            <w:r>
              <w:rPr>
                <w:sz w:val="16"/>
              </w:rPr>
              <w:t>50%</w:t>
            </w:r>
          </w:p>
        </w:tc>
        <w:tc>
          <w:tcPr>
            <w:tcW w:type="dxa" w:w="1254"/>
          </w:tcPr>
          <w:p>
            <w:pPr>
              <w:spacing w:after="0"/>
              <w:jc w:val="right"/>
            </w:pPr>
            <w:r/>
            <w:r>
              <w:rPr>
                <w:sz w:val="16"/>
              </w:rPr>
              <w:t>50%</w:t>
            </w:r>
          </w:p>
        </w:tc>
        <w:tc>
          <w:tcPr>
            <w:tcW w:type="dxa" w:w="1254"/>
          </w:tcPr>
          <w:p>
            <w:pPr>
              <w:spacing w:after="0"/>
              <w:jc w:val="right"/>
            </w:pPr>
            <w:r/>
            <w:r>
              <w:rPr>
                <w:sz w:val="16"/>
              </w:rPr>
              <w:t>+0.18</w:t>
            </w:r>
          </w:p>
        </w:tc>
      </w:tr>
      <w:tr>
        <w:tc>
          <w:tcPr>
            <w:tcW w:type="dxa" w:w="3377"/>
          </w:tcPr>
          <w:p>
            <w:pPr>
              <w:spacing w:after="0"/>
              <w:jc w:val="left"/>
            </w:pPr>
            <w:r/>
            <w:r>
              <w:rPr>
                <w:sz w:val="16"/>
              </w:rPr>
              <w:t>unemployment</w:t>
            </w:r>
          </w:p>
        </w:tc>
        <w:tc>
          <w:tcPr>
            <w:tcW w:type="dxa" w:w="1254"/>
          </w:tcPr>
          <w:p>
            <w:pPr>
              <w:spacing w:after="0"/>
              <w:jc w:val="right"/>
            </w:pPr>
            <w:r/>
            <w:r>
              <w:rPr>
                <w:sz w:val="16"/>
              </w:rPr>
              <w:t>108</w:t>
            </w:r>
          </w:p>
        </w:tc>
        <w:tc>
          <w:tcPr>
            <w:tcW w:type="dxa" w:w="1254"/>
          </w:tcPr>
          <w:p>
            <w:pPr>
              <w:spacing w:after="0"/>
              <w:jc w:val="right"/>
            </w:pPr>
            <w:r/>
            <w:r>
              <w:rPr>
                <w:sz w:val="16"/>
              </w:rPr>
              <w:t>84%</w:t>
            </w:r>
          </w:p>
        </w:tc>
        <w:tc>
          <w:tcPr>
            <w:tcW w:type="dxa" w:w="1254"/>
          </w:tcPr>
          <w:p>
            <w:pPr>
              <w:spacing w:after="0"/>
              <w:jc w:val="right"/>
            </w:pPr>
            <w:r/>
            <w:r>
              <w:rPr>
                <w:sz w:val="16"/>
              </w:rPr>
              <w:t>0%</w:t>
            </w:r>
          </w:p>
        </w:tc>
        <w:tc>
          <w:tcPr>
            <w:tcW w:type="dxa" w:w="1254"/>
          </w:tcPr>
          <w:p>
            <w:pPr>
              <w:spacing w:after="0"/>
              <w:jc w:val="right"/>
            </w:pPr>
            <w:r/>
            <w:r>
              <w:rPr>
                <w:sz w:val="16"/>
              </w:rPr>
              <w:t>16%</w:t>
            </w:r>
          </w:p>
        </w:tc>
        <w:tc>
          <w:tcPr>
            <w:tcW w:type="dxa" w:w="1254"/>
          </w:tcPr>
          <w:p>
            <w:pPr>
              <w:spacing w:after="0"/>
              <w:jc w:val="right"/>
            </w:pPr>
            <w:r/>
            <w:r>
              <w:rPr>
                <w:sz w:val="16"/>
              </w:rPr>
              <w:t>+0.00</w:t>
            </w:r>
          </w:p>
        </w:tc>
      </w:tr>
      <w:tr>
        <w:tc>
          <w:tcPr>
            <w:tcW w:type="dxa" w:w="3377"/>
          </w:tcPr>
          <w:p>
            <w:pPr>
              <w:spacing w:after="0"/>
              <w:jc w:val="left"/>
            </w:pPr>
            <w:r/>
            <w:r>
              <w:rPr>
                <w:sz w:val="16"/>
              </w:rPr>
              <w:t>ALL</w:t>
            </w:r>
          </w:p>
        </w:tc>
        <w:tc>
          <w:tcPr>
            <w:tcW w:type="dxa" w:w="1254"/>
          </w:tcPr>
          <w:p>
            <w:pPr>
              <w:spacing w:after="0"/>
              <w:jc w:val="right"/>
            </w:pPr>
            <w:r/>
            <w:r>
              <w:rPr>
                <w:sz w:val="16"/>
              </w:rPr>
              <w:t>1040</w:t>
            </w:r>
          </w:p>
        </w:tc>
        <w:tc>
          <w:tcPr>
            <w:tcW w:type="dxa" w:w="1254"/>
          </w:tcPr>
          <w:p>
            <w:pPr>
              <w:spacing w:after="0"/>
              <w:jc w:val="right"/>
            </w:pPr>
            <w:r/>
            <w:r>
              <w:rPr>
                <w:sz w:val="16"/>
              </w:rPr>
              <w:t>60%</w:t>
            </w:r>
          </w:p>
        </w:tc>
        <w:tc>
          <w:tcPr>
            <w:tcW w:type="dxa" w:w="1254"/>
          </w:tcPr>
          <w:p>
            <w:pPr>
              <w:spacing w:after="0"/>
              <w:jc w:val="right"/>
            </w:pPr>
            <w:r/>
            <w:r>
              <w:rPr>
                <w:sz w:val="16"/>
              </w:rPr>
              <w:t>5%</w:t>
            </w:r>
          </w:p>
        </w:tc>
        <w:tc>
          <w:tcPr>
            <w:tcW w:type="dxa" w:w="1254"/>
          </w:tcPr>
          <w:p>
            <w:pPr>
              <w:spacing w:after="0"/>
              <w:jc w:val="right"/>
            </w:pPr>
            <w:r/>
            <w:r>
              <w:rPr>
                <w:sz w:val="16"/>
              </w:rPr>
              <w:t>35%</w:t>
            </w:r>
          </w:p>
        </w:tc>
        <w:tc>
          <w:tcPr>
            <w:tcW w:type="dxa" w:w="1254"/>
          </w:tcPr>
          <w:p>
            <w:pPr>
              <w:spacing w:after="0"/>
              <w:jc w:val="right"/>
            </w:pPr>
            <w:r/>
            <w:r>
              <w:rPr>
                <w:sz w:val="16"/>
              </w:rPr>
              <w:t>–</w:t>
            </w:r>
          </w:p>
        </w:tc>
      </w:tr>
    </w:tbl>
    <w:p>
      <w:pPr>
        <w:spacing w:after="120"/>
      </w:pPr>
      <w:r>
        <w:rPr>
          <w:b w:val="0"/>
          <w:i/>
          <w:color w:val="4A5260"/>
          <w:sz w:val="16"/>
        </w:rPr>
        <w:t>Calibrated = within rounding tolerance of the latest or previous official release (GDP: real-time vintage). Definition error = matches a different official measure (core vs headline, monthly vs annual). Positive bad-news error = the claim makes the economy look worse than the data. Rule-based extraction; forecasts, ranges, polls and non-US claims excluded.</w:t>
      </w:r>
    </w:p>
    <w:p>
      <w:pPr>
        <w:jc w:val="center"/>
      </w:pPr>
      <w:r>
        <w:drawing>
          <wp:inline xmlns:a="http://schemas.openxmlformats.org/drawingml/2006/main" xmlns:pic="http://schemas.openxmlformats.org/drawingml/2006/picture">
            <wp:extent cx="4297680" cy="3581400"/>
            <wp:docPr id="3" name="Picture 3"/>
            <wp:cNvGraphicFramePr>
              <a:graphicFrameLocks noChangeAspect="1"/>
            </wp:cNvGraphicFramePr>
            <a:graphic>
              <a:graphicData uri="http://schemas.openxmlformats.org/drawingml/2006/picture">
                <pic:pic>
                  <pic:nvPicPr>
                    <pic:cNvPr id="0" name="fig_media.png"/>
                    <pic:cNvPicPr/>
                  </pic:nvPicPr>
                  <pic:blipFill>
                    <a:blip r:embed="rId12"/>
                    <a:stretch>
                      <a:fillRect/>
                    </a:stretch>
                  </pic:blipFill>
                  <pic:spPr>
                    <a:xfrm>
                      <a:off x="0" y="0"/>
                      <a:ext cx="4297680" cy="3581400"/>
                    </a:xfrm>
                    <a:prstGeom prst="rect"/>
                  </pic:spPr>
                </pic:pic>
              </a:graphicData>
            </a:graphic>
          </wp:inline>
        </w:drawing>
      </w:r>
    </w:p>
    <w:p>
      <w:pPr>
        <w:spacing w:after="120"/>
      </w:pPr>
      <w:r>
        <w:rPr>
          <w:b w:val="0"/>
          <w:i/>
          <w:color w:val="4A5260"/>
          <w:sz w:val="17"/>
        </w:rPr>
        <w:t>Figure 3. Sentiment gap vs AI-coded headline tone (top), topic salience (middle), and Michigan respondents' recall of favourable/unfavourable news (bottom).</w:t>
      </w:r>
    </w:p>
    <w:p>
      <w:pPr>
        <w:pStyle w:val="Heading1"/>
      </w:pPr>
      <w:r>
        <w:t>6. Does media analysis improve predictions, and what is its impact? (RQ2, RQ5)</w:t>
      </w:r>
    </w:p>
    <w:p>
      <w:pPr>
        <w:spacing w:after="40"/>
      </w:pPr>
      <w:r>
        <w:rPr>
          <w:b/>
          <w:i w:val="0"/>
          <w:sz w:val="19"/>
        </w:rPr>
        <w:t>Table 9. Three-model comparison, expanding-window out-of-sample 2020–2026 (estimation from 2017).</w:t>
      </w:r>
    </w:p>
    <w:tbl>
      <w:tblPr>
        <w:tblStyle w:val="TableGrid"/>
        <w:tblW w:type="auto" w:w="0"/>
        <w:jc w:val="center"/>
        <w:tblLayout w:type="fixed"/>
        <w:tblLook w:firstColumn="1" w:firstRow="1" w:lastColumn="0" w:lastRow="0" w:noHBand="0" w:noVBand="1" w:val="04A0"/>
      </w:tblPr>
      <w:tblGrid>
        <w:gridCol w:w="3377"/>
        <w:gridCol w:w="896"/>
        <w:gridCol w:w="896"/>
        <w:gridCol w:w="896"/>
        <w:gridCol w:w="896"/>
        <w:gridCol w:w="896"/>
        <w:gridCol w:w="896"/>
        <w:gridCol w:w="896"/>
      </w:tblGrid>
      <w:tr>
        <w:tc>
          <w:tcPr>
            <w:tcW w:type="dxa" w:w="3377"/>
            <w:shd w:val="clear" w:color="auto" w:fill="E8EDF4"/>
          </w:tcPr>
          <w:p>
            <w:pPr>
              <w:spacing w:after="0"/>
            </w:pPr>
            <w:r/>
            <w:r>
              <w:rPr>
                <w:b/>
                <w:sz w:val="16"/>
              </w:rPr>
              <w:t>Target</w:t>
            </w:r>
          </w:p>
        </w:tc>
        <w:tc>
          <w:tcPr>
            <w:tcW w:type="dxa" w:w="896"/>
            <w:shd w:val="clear" w:color="auto" w:fill="E8EDF4"/>
          </w:tcPr>
          <w:p>
            <w:pPr>
              <w:spacing w:after="0"/>
            </w:pPr>
            <w:r/>
            <w:r>
              <w:rPr>
                <w:b/>
                <w:sz w:val="16"/>
              </w:rPr>
              <w:t>Model</w:t>
            </w:r>
          </w:p>
        </w:tc>
        <w:tc>
          <w:tcPr>
            <w:tcW w:type="dxa" w:w="896"/>
            <w:shd w:val="clear" w:color="auto" w:fill="E8EDF4"/>
          </w:tcPr>
          <w:p>
            <w:pPr>
              <w:spacing w:after="0"/>
            </w:pPr>
            <w:r/>
            <w:r>
              <w:rPr>
                <w:b/>
                <w:sz w:val="16"/>
              </w:rPr>
              <w:t>N (OOS)</w:t>
            </w:r>
          </w:p>
        </w:tc>
        <w:tc>
          <w:tcPr>
            <w:tcW w:type="dxa" w:w="896"/>
            <w:shd w:val="clear" w:color="auto" w:fill="E8EDF4"/>
          </w:tcPr>
          <w:p>
            <w:pPr>
              <w:spacing w:after="0"/>
            </w:pPr>
            <w:r/>
            <w:r>
              <w:rPr>
                <w:b/>
                <w:sz w:val="16"/>
              </w:rPr>
              <w:t>RMSE</w:t>
            </w:r>
          </w:p>
        </w:tc>
        <w:tc>
          <w:tcPr>
            <w:tcW w:type="dxa" w:w="896"/>
            <w:shd w:val="clear" w:color="auto" w:fill="E8EDF4"/>
          </w:tcPr>
          <w:p>
            <w:pPr>
              <w:spacing w:after="0"/>
            </w:pPr>
            <w:r/>
            <w:r>
              <w:rPr>
                <w:b/>
                <w:sz w:val="16"/>
              </w:rPr>
              <w:t>Mean error</w:t>
            </w:r>
          </w:p>
        </w:tc>
        <w:tc>
          <w:tcPr>
            <w:tcW w:type="dxa" w:w="896"/>
            <w:shd w:val="clear" w:color="auto" w:fill="E8EDF4"/>
          </w:tcPr>
          <w:p>
            <w:pPr>
              <w:spacing w:after="0"/>
            </w:pPr>
            <w:r/>
            <w:r>
              <w:rPr>
                <w:b/>
                <w:sz w:val="16"/>
              </w:rPr>
              <w:t>Nested vs</w:t>
            </w:r>
          </w:p>
        </w:tc>
        <w:tc>
          <w:tcPr>
            <w:tcW w:type="dxa" w:w="896"/>
            <w:shd w:val="clear" w:color="auto" w:fill="E8EDF4"/>
          </w:tcPr>
          <w:p>
            <w:pPr>
              <w:spacing w:after="0"/>
            </w:pPr>
            <w:r/>
            <w:r>
              <w:rPr>
                <w:b/>
                <w:sz w:val="16"/>
              </w:rPr>
              <w:t>Clark–West p</w:t>
            </w:r>
          </w:p>
        </w:tc>
        <w:tc>
          <w:tcPr>
            <w:tcW w:type="dxa" w:w="896"/>
            <w:shd w:val="clear" w:color="auto" w:fill="E8EDF4"/>
          </w:tcPr>
          <w:p>
            <w:pPr>
              <w:spacing w:after="0"/>
            </w:pPr>
            <w:r/>
            <w:r>
              <w:rPr>
                <w:b/>
                <w:sz w:val="16"/>
              </w:rPr>
              <w:t>DM p</w:t>
            </w:r>
          </w:p>
        </w:tc>
      </w:tr>
      <w:tr>
        <w:tc>
          <w:tcPr>
            <w:tcW w:type="dxa" w:w="3377"/>
          </w:tcPr>
          <w:p>
            <w:pPr>
              <w:spacing w:after="0"/>
              <w:jc w:val="left"/>
            </w:pPr>
            <w:r/>
            <w:r>
              <w:rPr>
                <w:sz w:val="16"/>
              </w:rPr>
              <w:t>ICS level</w:t>
            </w:r>
          </w:p>
        </w:tc>
        <w:tc>
          <w:tcPr>
            <w:tcW w:type="dxa" w:w="896"/>
          </w:tcPr>
          <w:p>
            <w:pPr>
              <w:spacing w:after="0"/>
              <w:jc w:val="right"/>
            </w:pPr>
            <w:r/>
            <w:r>
              <w:rPr>
                <w:sz w:val="16"/>
              </w:rPr>
              <w:t>M1 econ only</w:t>
            </w:r>
          </w:p>
        </w:tc>
        <w:tc>
          <w:tcPr>
            <w:tcW w:type="dxa" w:w="896"/>
          </w:tcPr>
          <w:p>
            <w:pPr>
              <w:spacing w:after="0"/>
              <w:jc w:val="right"/>
            </w:pPr>
            <w:r/>
            <w:r>
              <w:rPr>
                <w:sz w:val="16"/>
              </w:rPr>
              <w:t>82</w:t>
            </w:r>
          </w:p>
        </w:tc>
        <w:tc>
          <w:tcPr>
            <w:tcW w:type="dxa" w:w="896"/>
          </w:tcPr>
          <w:p>
            <w:pPr>
              <w:spacing w:after="0"/>
              <w:jc w:val="right"/>
            </w:pPr>
            <w:r/>
            <w:r>
              <w:rPr>
                <w:sz w:val="16"/>
              </w:rPr>
              <w:t>8.67</w:t>
            </w:r>
          </w:p>
        </w:tc>
        <w:tc>
          <w:tcPr>
            <w:tcW w:type="dxa" w:w="896"/>
          </w:tcPr>
          <w:p>
            <w:pPr>
              <w:spacing w:after="0"/>
              <w:jc w:val="right"/>
            </w:pPr>
            <w:r/>
            <w:r>
              <w:rPr>
                <w:sz w:val="16"/>
              </w:rPr>
              <w:t>-5.15</w:t>
            </w:r>
          </w:p>
        </w:tc>
        <w:tc>
          <w:tcPr>
            <w:tcW w:type="dxa" w:w="896"/>
          </w:tcPr>
          <w:p>
            <w:pPr>
              <w:spacing w:after="0"/>
              <w:jc w:val="right"/>
            </w:pPr>
            <w:r/>
            <w:r>
              <w:rPr>
                <w:sz w:val="16"/>
              </w:rPr>
              <w:t>–</w:t>
            </w:r>
          </w:p>
        </w:tc>
        <w:tc>
          <w:tcPr>
            <w:tcW w:type="dxa" w:w="896"/>
          </w:tcPr>
          <w:p>
            <w:pPr>
              <w:spacing w:after="0"/>
              <w:jc w:val="right"/>
            </w:pPr>
            <w:r/>
            <w:r>
              <w:rPr>
                <w:sz w:val="16"/>
              </w:rPr>
              <w:t>–</w:t>
            </w:r>
          </w:p>
        </w:tc>
        <w:tc>
          <w:tcPr>
            <w:tcW w:type="dxa" w:w="896"/>
          </w:tcPr>
          <w:p>
            <w:pPr>
              <w:spacing w:after="0"/>
              <w:jc w:val="right"/>
            </w:pPr>
            <w:r/>
            <w:r>
              <w:rPr>
                <w:sz w:val="16"/>
              </w:rPr>
              <w:t>–</w:t>
            </w:r>
          </w:p>
        </w:tc>
      </w:tr>
      <w:tr>
        <w:tc>
          <w:tcPr>
            <w:tcW w:type="dxa" w:w="3377"/>
          </w:tcPr>
          <w:p>
            <w:pPr>
              <w:spacing w:after="0"/>
              <w:jc w:val="left"/>
            </w:pPr>
            <w:r/>
            <w:r>
              <w:rPr>
                <w:sz w:val="16"/>
              </w:rPr>
              <w:t>ICS level</w:t>
            </w:r>
          </w:p>
        </w:tc>
        <w:tc>
          <w:tcPr>
            <w:tcW w:type="dxa" w:w="896"/>
          </w:tcPr>
          <w:p>
            <w:pPr>
              <w:spacing w:after="0"/>
              <w:jc w:val="right"/>
            </w:pPr>
            <w:r/>
            <w:r>
              <w:rPr>
                <w:sz w:val="16"/>
              </w:rPr>
              <w:t>M2 + media</w:t>
            </w:r>
          </w:p>
        </w:tc>
        <w:tc>
          <w:tcPr>
            <w:tcW w:type="dxa" w:w="896"/>
          </w:tcPr>
          <w:p>
            <w:pPr>
              <w:spacing w:after="0"/>
              <w:jc w:val="right"/>
            </w:pPr>
            <w:r/>
            <w:r>
              <w:rPr>
                <w:sz w:val="16"/>
              </w:rPr>
              <w:t>82</w:t>
            </w:r>
          </w:p>
        </w:tc>
        <w:tc>
          <w:tcPr>
            <w:tcW w:type="dxa" w:w="896"/>
          </w:tcPr>
          <w:p>
            <w:pPr>
              <w:spacing w:after="0"/>
              <w:jc w:val="right"/>
            </w:pPr>
            <w:r/>
            <w:r>
              <w:rPr>
                <w:sz w:val="16"/>
              </w:rPr>
              <w:t>10.87</w:t>
            </w:r>
          </w:p>
        </w:tc>
        <w:tc>
          <w:tcPr>
            <w:tcW w:type="dxa" w:w="896"/>
          </w:tcPr>
          <w:p>
            <w:pPr>
              <w:spacing w:after="0"/>
              <w:jc w:val="right"/>
            </w:pPr>
            <w:r/>
            <w:r>
              <w:rPr>
                <w:sz w:val="16"/>
              </w:rPr>
              <w:t>-3.62</w:t>
            </w:r>
          </w:p>
        </w:tc>
        <w:tc>
          <w:tcPr>
            <w:tcW w:type="dxa" w:w="896"/>
          </w:tcPr>
          <w:p>
            <w:pPr>
              <w:spacing w:after="0"/>
              <w:jc w:val="right"/>
            </w:pPr>
            <w:r/>
            <w:r>
              <w:rPr>
                <w:sz w:val="16"/>
              </w:rPr>
              <w:t>M1 econ only</w:t>
            </w:r>
          </w:p>
        </w:tc>
        <w:tc>
          <w:tcPr>
            <w:tcW w:type="dxa" w:w="896"/>
          </w:tcPr>
          <w:p>
            <w:pPr>
              <w:spacing w:after="0"/>
              <w:jc w:val="right"/>
            </w:pPr>
            <w:r/>
            <w:r>
              <w:rPr>
                <w:sz w:val="16"/>
              </w:rPr>
              <w:t>0.031</w:t>
            </w:r>
          </w:p>
        </w:tc>
        <w:tc>
          <w:tcPr>
            <w:tcW w:type="dxa" w:w="896"/>
          </w:tcPr>
          <w:p>
            <w:pPr>
              <w:spacing w:after="0"/>
              <w:jc w:val="right"/>
            </w:pPr>
            <w:r/>
            <w:r>
              <w:rPr>
                <w:sz w:val="16"/>
              </w:rPr>
              <w:t>0.295</w:t>
            </w:r>
          </w:p>
        </w:tc>
      </w:tr>
      <w:tr>
        <w:tc>
          <w:tcPr>
            <w:tcW w:type="dxa" w:w="3377"/>
          </w:tcPr>
          <w:p>
            <w:pPr>
              <w:spacing w:after="0"/>
              <w:jc w:val="left"/>
            </w:pPr>
            <w:r/>
            <w:r>
              <w:rPr>
                <w:sz w:val="16"/>
              </w:rPr>
              <w:t>ICS level</w:t>
            </w:r>
          </w:p>
        </w:tc>
        <w:tc>
          <w:tcPr>
            <w:tcW w:type="dxa" w:w="896"/>
          </w:tcPr>
          <w:p>
            <w:pPr>
              <w:spacing w:after="0"/>
              <w:jc w:val="right"/>
            </w:pPr>
            <w:r/>
            <w:r>
              <w:rPr>
                <w:sz w:val="16"/>
              </w:rPr>
              <w:t>M3 + media + controls</w:t>
            </w:r>
          </w:p>
        </w:tc>
        <w:tc>
          <w:tcPr>
            <w:tcW w:type="dxa" w:w="896"/>
          </w:tcPr>
          <w:p>
            <w:pPr>
              <w:spacing w:after="0"/>
              <w:jc w:val="right"/>
            </w:pPr>
            <w:r/>
            <w:r>
              <w:rPr>
                <w:sz w:val="16"/>
              </w:rPr>
              <w:t>82</w:t>
            </w:r>
          </w:p>
        </w:tc>
        <w:tc>
          <w:tcPr>
            <w:tcW w:type="dxa" w:w="896"/>
          </w:tcPr>
          <w:p>
            <w:pPr>
              <w:spacing w:after="0"/>
              <w:jc w:val="right"/>
            </w:pPr>
            <w:r/>
            <w:r>
              <w:rPr>
                <w:sz w:val="16"/>
              </w:rPr>
              <w:t>7.29</w:t>
            </w:r>
          </w:p>
        </w:tc>
        <w:tc>
          <w:tcPr>
            <w:tcW w:type="dxa" w:w="896"/>
          </w:tcPr>
          <w:p>
            <w:pPr>
              <w:spacing w:after="0"/>
              <w:jc w:val="right"/>
            </w:pPr>
            <w:r/>
            <w:r>
              <w:rPr>
                <w:sz w:val="16"/>
              </w:rPr>
              <w:t>-3.32</w:t>
            </w:r>
          </w:p>
        </w:tc>
        <w:tc>
          <w:tcPr>
            <w:tcW w:type="dxa" w:w="896"/>
          </w:tcPr>
          <w:p>
            <w:pPr>
              <w:spacing w:after="0"/>
              <w:jc w:val="right"/>
            </w:pPr>
            <w:r/>
            <w:r>
              <w:rPr>
                <w:sz w:val="16"/>
              </w:rPr>
              <w:t>M3b econ + controls (no media)</w:t>
            </w:r>
          </w:p>
        </w:tc>
        <w:tc>
          <w:tcPr>
            <w:tcW w:type="dxa" w:w="896"/>
          </w:tcPr>
          <w:p>
            <w:pPr>
              <w:spacing w:after="0"/>
              <w:jc w:val="right"/>
            </w:pPr>
            <w:r/>
            <w:r>
              <w:rPr>
                <w:sz w:val="16"/>
              </w:rPr>
              <w:t>0.101</w:t>
            </w:r>
          </w:p>
        </w:tc>
        <w:tc>
          <w:tcPr>
            <w:tcW w:type="dxa" w:w="896"/>
          </w:tcPr>
          <w:p>
            <w:pPr>
              <w:spacing w:after="0"/>
              <w:jc w:val="right"/>
            </w:pPr>
            <w:r/>
            <w:r>
              <w:rPr>
                <w:sz w:val="16"/>
              </w:rPr>
              <w:t>0.136</w:t>
            </w:r>
          </w:p>
        </w:tc>
      </w:tr>
      <w:tr>
        <w:tc>
          <w:tcPr>
            <w:tcW w:type="dxa" w:w="3377"/>
          </w:tcPr>
          <w:p>
            <w:pPr>
              <w:spacing w:after="0"/>
              <w:jc w:val="left"/>
            </w:pPr>
            <w:r/>
            <w:r>
              <w:rPr>
                <w:sz w:val="16"/>
              </w:rPr>
              <w:t>ICS level</w:t>
            </w:r>
          </w:p>
        </w:tc>
        <w:tc>
          <w:tcPr>
            <w:tcW w:type="dxa" w:w="896"/>
          </w:tcPr>
          <w:p>
            <w:pPr>
              <w:spacing w:after="0"/>
              <w:jc w:val="right"/>
            </w:pPr>
            <w:r/>
            <w:r>
              <w:rPr>
                <w:sz w:val="16"/>
              </w:rPr>
              <w:t>M3b econ + controls (no media)</w:t>
            </w:r>
          </w:p>
        </w:tc>
        <w:tc>
          <w:tcPr>
            <w:tcW w:type="dxa" w:w="896"/>
          </w:tcPr>
          <w:p>
            <w:pPr>
              <w:spacing w:after="0"/>
              <w:jc w:val="right"/>
            </w:pPr>
            <w:r/>
            <w:r>
              <w:rPr>
                <w:sz w:val="16"/>
              </w:rPr>
              <w:t>82</w:t>
            </w:r>
          </w:p>
        </w:tc>
        <w:tc>
          <w:tcPr>
            <w:tcW w:type="dxa" w:w="896"/>
          </w:tcPr>
          <w:p>
            <w:pPr>
              <w:spacing w:after="0"/>
              <w:jc w:val="right"/>
            </w:pPr>
            <w:r/>
            <w:r>
              <w:rPr>
                <w:sz w:val="16"/>
              </w:rPr>
              <w:t>6.62</w:t>
            </w:r>
          </w:p>
        </w:tc>
        <w:tc>
          <w:tcPr>
            <w:tcW w:type="dxa" w:w="896"/>
          </w:tcPr>
          <w:p>
            <w:pPr>
              <w:spacing w:after="0"/>
              <w:jc w:val="right"/>
            </w:pPr>
            <w:r/>
            <w:r>
              <w:rPr>
                <w:sz w:val="16"/>
              </w:rPr>
              <w:t>-3.13</w:t>
            </w:r>
          </w:p>
        </w:tc>
        <w:tc>
          <w:tcPr>
            <w:tcW w:type="dxa" w:w="896"/>
          </w:tcPr>
          <w:p>
            <w:pPr>
              <w:spacing w:after="0"/>
              <w:jc w:val="right"/>
            </w:pPr>
            <w:r/>
            <w:r>
              <w:rPr>
                <w:sz w:val="16"/>
              </w:rPr>
              <w:t>M1 econ only</w:t>
            </w:r>
          </w:p>
        </w:tc>
        <w:tc>
          <w:tcPr>
            <w:tcW w:type="dxa" w:w="896"/>
          </w:tcPr>
          <w:p>
            <w:pPr>
              <w:spacing w:after="0"/>
              <w:jc w:val="right"/>
            </w:pPr>
            <w:r/>
            <w:r>
              <w:rPr>
                <w:sz w:val="16"/>
              </w:rPr>
              <w:t>0.001</w:t>
            </w:r>
          </w:p>
        </w:tc>
        <w:tc>
          <w:tcPr>
            <w:tcW w:type="dxa" w:w="896"/>
          </w:tcPr>
          <w:p>
            <w:pPr>
              <w:spacing w:after="0"/>
              <w:jc w:val="right"/>
            </w:pPr>
            <w:r/>
            <w:r>
              <w:rPr>
                <w:sz w:val="16"/>
              </w:rPr>
              <w:t>0.027</w:t>
            </w:r>
          </w:p>
        </w:tc>
      </w:tr>
      <w:tr>
        <w:tc>
          <w:tcPr>
            <w:tcW w:type="dxa" w:w="3377"/>
          </w:tcPr>
          <w:p>
            <w:pPr>
              <w:spacing w:after="0"/>
              <w:jc w:val="left"/>
            </w:pPr>
            <w:r/>
            <w:r>
              <w:rPr>
                <w:sz w:val="16"/>
              </w:rPr>
              <w:t>M1 gap</w:t>
            </w:r>
          </w:p>
        </w:tc>
        <w:tc>
          <w:tcPr>
            <w:tcW w:type="dxa" w:w="896"/>
          </w:tcPr>
          <w:p>
            <w:pPr>
              <w:spacing w:after="0"/>
              <w:jc w:val="right"/>
            </w:pPr>
            <w:r/>
            <w:r>
              <w:rPr>
                <w:sz w:val="16"/>
              </w:rPr>
              <w:t>M1 econ only</w:t>
            </w:r>
          </w:p>
        </w:tc>
        <w:tc>
          <w:tcPr>
            <w:tcW w:type="dxa" w:w="896"/>
          </w:tcPr>
          <w:p>
            <w:pPr>
              <w:spacing w:after="0"/>
              <w:jc w:val="right"/>
            </w:pPr>
            <w:r/>
            <w:r>
              <w:rPr>
                <w:sz w:val="16"/>
              </w:rPr>
              <w:t>82</w:t>
            </w:r>
          </w:p>
        </w:tc>
        <w:tc>
          <w:tcPr>
            <w:tcW w:type="dxa" w:w="896"/>
          </w:tcPr>
          <w:p>
            <w:pPr>
              <w:spacing w:after="0"/>
              <w:jc w:val="right"/>
            </w:pPr>
            <w:r/>
            <w:r>
              <w:rPr>
                <w:sz w:val="16"/>
              </w:rPr>
              <w:t>8.03</w:t>
            </w:r>
          </w:p>
        </w:tc>
        <w:tc>
          <w:tcPr>
            <w:tcW w:type="dxa" w:w="896"/>
          </w:tcPr>
          <w:p>
            <w:pPr>
              <w:spacing w:after="0"/>
              <w:jc w:val="right"/>
            </w:pPr>
            <w:r/>
            <w:r>
              <w:rPr>
                <w:sz w:val="16"/>
              </w:rPr>
              <w:t>-4.81</w:t>
            </w:r>
          </w:p>
        </w:tc>
        <w:tc>
          <w:tcPr>
            <w:tcW w:type="dxa" w:w="896"/>
          </w:tcPr>
          <w:p>
            <w:pPr>
              <w:spacing w:after="0"/>
              <w:jc w:val="right"/>
            </w:pPr>
            <w:r/>
            <w:r>
              <w:rPr>
                <w:sz w:val="16"/>
              </w:rPr>
              <w:t>–</w:t>
            </w:r>
          </w:p>
        </w:tc>
        <w:tc>
          <w:tcPr>
            <w:tcW w:type="dxa" w:w="896"/>
          </w:tcPr>
          <w:p>
            <w:pPr>
              <w:spacing w:after="0"/>
              <w:jc w:val="right"/>
            </w:pPr>
            <w:r/>
            <w:r>
              <w:rPr>
                <w:sz w:val="16"/>
              </w:rPr>
              <w:t>–</w:t>
            </w:r>
          </w:p>
        </w:tc>
        <w:tc>
          <w:tcPr>
            <w:tcW w:type="dxa" w:w="896"/>
          </w:tcPr>
          <w:p>
            <w:pPr>
              <w:spacing w:after="0"/>
              <w:jc w:val="right"/>
            </w:pPr>
            <w:r/>
            <w:r>
              <w:rPr>
                <w:sz w:val="16"/>
              </w:rPr>
              <w:t>–</w:t>
            </w:r>
          </w:p>
        </w:tc>
      </w:tr>
      <w:tr>
        <w:tc>
          <w:tcPr>
            <w:tcW w:type="dxa" w:w="3377"/>
          </w:tcPr>
          <w:p>
            <w:pPr>
              <w:spacing w:after="0"/>
              <w:jc w:val="left"/>
            </w:pPr>
            <w:r/>
            <w:r>
              <w:rPr>
                <w:sz w:val="16"/>
              </w:rPr>
              <w:t>M1 gap</w:t>
            </w:r>
          </w:p>
        </w:tc>
        <w:tc>
          <w:tcPr>
            <w:tcW w:type="dxa" w:w="896"/>
          </w:tcPr>
          <w:p>
            <w:pPr>
              <w:spacing w:after="0"/>
              <w:jc w:val="right"/>
            </w:pPr>
            <w:r/>
            <w:r>
              <w:rPr>
                <w:sz w:val="16"/>
              </w:rPr>
              <w:t>M2 + media</w:t>
            </w:r>
          </w:p>
        </w:tc>
        <w:tc>
          <w:tcPr>
            <w:tcW w:type="dxa" w:w="896"/>
          </w:tcPr>
          <w:p>
            <w:pPr>
              <w:spacing w:after="0"/>
              <w:jc w:val="right"/>
            </w:pPr>
            <w:r/>
            <w:r>
              <w:rPr>
                <w:sz w:val="16"/>
              </w:rPr>
              <w:t>82</w:t>
            </w:r>
          </w:p>
        </w:tc>
        <w:tc>
          <w:tcPr>
            <w:tcW w:type="dxa" w:w="896"/>
          </w:tcPr>
          <w:p>
            <w:pPr>
              <w:spacing w:after="0"/>
              <w:jc w:val="right"/>
            </w:pPr>
            <w:r/>
            <w:r>
              <w:rPr>
                <w:sz w:val="16"/>
              </w:rPr>
              <w:t>10.05</w:t>
            </w:r>
          </w:p>
        </w:tc>
        <w:tc>
          <w:tcPr>
            <w:tcW w:type="dxa" w:w="896"/>
          </w:tcPr>
          <w:p>
            <w:pPr>
              <w:spacing w:after="0"/>
              <w:jc w:val="right"/>
            </w:pPr>
            <w:r/>
            <w:r>
              <w:rPr>
                <w:sz w:val="16"/>
              </w:rPr>
              <w:t>-3.28</w:t>
            </w:r>
          </w:p>
        </w:tc>
        <w:tc>
          <w:tcPr>
            <w:tcW w:type="dxa" w:w="896"/>
          </w:tcPr>
          <w:p>
            <w:pPr>
              <w:spacing w:after="0"/>
              <w:jc w:val="right"/>
            </w:pPr>
            <w:r/>
            <w:r>
              <w:rPr>
                <w:sz w:val="16"/>
              </w:rPr>
              <w:t>M1 econ only</w:t>
            </w:r>
          </w:p>
        </w:tc>
        <w:tc>
          <w:tcPr>
            <w:tcW w:type="dxa" w:w="896"/>
          </w:tcPr>
          <w:p>
            <w:pPr>
              <w:spacing w:after="0"/>
              <w:jc w:val="right"/>
            </w:pPr>
            <w:r/>
            <w:r>
              <w:rPr>
                <w:sz w:val="16"/>
              </w:rPr>
              <w:t>0.048</w:t>
            </w:r>
          </w:p>
        </w:tc>
        <w:tc>
          <w:tcPr>
            <w:tcW w:type="dxa" w:w="896"/>
          </w:tcPr>
          <w:p>
            <w:pPr>
              <w:spacing w:after="0"/>
              <w:jc w:val="right"/>
            </w:pPr>
            <w:r/>
            <w:r>
              <w:rPr>
                <w:sz w:val="16"/>
              </w:rPr>
              <w:t>0.290</w:t>
            </w:r>
          </w:p>
        </w:tc>
      </w:tr>
      <w:tr>
        <w:tc>
          <w:tcPr>
            <w:tcW w:type="dxa" w:w="3377"/>
          </w:tcPr>
          <w:p>
            <w:pPr>
              <w:spacing w:after="0"/>
              <w:jc w:val="left"/>
            </w:pPr>
            <w:r/>
            <w:r>
              <w:rPr>
                <w:sz w:val="16"/>
              </w:rPr>
              <w:t>M1 gap</w:t>
            </w:r>
          </w:p>
        </w:tc>
        <w:tc>
          <w:tcPr>
            <w:tcW w:type="dxa" w:w="896"/>
          </w:tcPr>
          <w:p>
            <w:pPr>
              <w:spacing w:after="0"/>
              <w:jc w:val="right"/>
            </w:pPr>
            <w:r/>
            <w:r>
              <w:rPr>
                <w:sz w:val="16"/>
              </w:rPr>
              <w:t>M3 + media + controls</w:t>
            </w:r>
          </w:p>
        </w:tc>
        <w:tc>
          <w:tcPr>
            <w:tcW w:type="dxa" w:w="896"/>
          </w:tcPr>
          <w:p>
            <w:pPr>
              <w:spacing w:after="0"/>
              <w:jc w:val="right"/>
            </w:pPr>
            <w:r/>
            <w:r>
              <w:rPr>
                <w:sz w:val="16"/>
              </w:rPr>
              <w:t>82</w:t>
            </w:r>
          </w:p>
        </w:tc>
        <w:tc>
          <w:tcPr>
            <w:tcW w:type="dxa" w:w="896"/>
          </w:tcPr>
          <w:p>
            <w:pPr>
              <w:spacing w:after="0"/>
              <w:jc w:val="right"/>
            </w:pPr>
            <w:r/>
            <w:r>
              <w:rPr>
                <w:sz w:val="16"/>
              </w:rPr>
              <w:t>6.88</w:t>
            </w:r>
          </w:p>
        </w:tc>
        <w:tc>
          <w:tcPr>
            <w:tcW w:type="dxa" w:w="896"/>
          </w:tcPr>
          <w:p>
            <w:pPr>
              <w:spacing w:after="0"/>
              <w:jc w:val="right"/>
            </w:pPr>
            <w:r/>
            <w:r>
              <w:rPr>
                <w:sz w:val="16"/>
              </w:rPr>
              <w:t>-2.93</w:t>
            </w:r>
          </w:p>
        </w:tc>
        <w:tc>
          <w:tcPr>
            <w:tcW w:type="dxa" w:w="896"/>
          </w:tcPr>
          <w:p>
            <w:pPr>
              <w:spacing w:after="0"/>
              <w:jc w:val="right"/>
            </w:pPr>
            <w:r/>
            <w:r>
              <w:rPr>
                <w:sz w:val="16"/>
              </w:rPr>
              <w:t>M3b econ + controls (no media)</w:t>
            </w:r>
          </w:p>
        </w:tc>
        <w:tc>
          <w:tcPr>
            <w:tcW w:type="dxa" w:w="896"/>
          </w:tcPr>
          <w:p>
            <w:pPr>
              <w:spacing w:after="0"/>
              <w:jc w:val="right"/>
            </w:pPr>
            <w:r/>
            <w:r>
              <w:rPr>
                <w:sz w:val="16"/>
              </w:rPr>
              <w:t>0.097</w:t>
            </w:r>
          </w:p>
        </w:tc>
        <w:tc>
          <w:tcPr>
            <w:tcW w:type="dxa" w:w="896"/>
          </w:tcPr>
          <w:p>
            <w:pPr>
              <w:spacing w:after="0"/>
              <w:jc w:val="right"/>
            </w:pPr>
            <w:r/>
            <w:r>
              <w:rPr>
                <w:sz w:val="16"/>
              </w:rPr>
              <w:t>0.179</w:t>
            </w:r>
          </w:p>
        </w:tc>
      </w:tr>
      <w:tr>
        <w:tc>
          <w:tcPr>
            <w:tcW w:type="dxa" w:w="3377"/>
          </w:tcPr>
          <w:p>
            <w:pPr>
              <w:spacing w:after="0"/>
              <w:jc w:val="left"/>
            </w:pPr>
            <w:r/>
            <w:r>
              <w:rPr>
                <w:sz w:val="16"/>
              </w:rPr>
              <w:t>M1 gap</w:t>
            </w:r>
          </w:p>
        </w:tc>
        <w:tc>
          <w:tcPr>
            <w:tcW w:type="dxa" w:w="896"/>
          </w:tcPr>
          <w:p>
            <w:pPr>
              <w:spacing w:after="0"/>
              <w:jc w:val="right"/>
            </w:pPr>
            <w:r/>
            <w:r>
              <w:rPr>
                <w:sz w:val="16"/>
              </w:rPr>
              <w:t>M3b econ + controls (no media)</w:t>
            </w:r>
          </w:p>
        </w:tc>
        <w:tc>
          <w:tcPr>
            <w:tcW w:type="dxa" w:w="896"/>
          </w:tcPr>
          <w:p>
            <w:pPr>
              <w:spacing w:after="0"/>
              <w:jc w:val="right"/>
            </w:pPr>
            <w:r/>
            <w:r>
              <w:rPr>
                <w:sz w:val="16"/>
              </w:rPr>
              <w:t>82</w:t>
            </w:r>
          </w:p>
        </w:tc>
        <w:tc>
          <w:tcPr>
            <w:tcW w:type="dxa" w:w="896"/>
          </w:tcPr>
          <w:p>
            <w:pPr>
              <w:spacing w:after="0"/>
              <w:jc w:val="right"/>
            </w:pPr>
            <w:r/>
            <w:r>
              <w:rPr>
                <w:sz w:val="16"/>
              </w:rPr>
              <w:t>6.37</w:t>
            </w:r>
          </w:p>
        </w:tc>
        <w:tc>
          <w:tcPr>
            <w:tcW w:type="dxa" w:w="896"/>
          </w:tcPr>
          <w:p>
            <w:pPr>
              <w:spacing w:after="0"/>
              <w:jc w:val="right"/>
            </w:pPr>
            <w:r/>
            <w:r>
              <w:rPr>
                <w:sz w:val="16"/>
              </w:rPr>
              <w:t>-2.73</w:t>
            </w:r>
          </w:p>
        </w:tc>
        <w:tc>
          <w:tcPr>
            <w:tcW w:type="dxa" w:w="896"/>
          </w:tcPr>
          <w:p>
            <w:pPr>
              <w:spacing w:after="0"/>
              <w:jc w:val="right"/>
            </w:pPr>
            <w:r/>
            <w:r>
              <w:rPr>
                <w:sz w:val="16"/>
              </w:rPr>
              <w:t>M1 econ only</w:t>
            </w:r>
          </w:p>
        </w:tc>
        <w:tc>
          <w:tcPr>
            <w:tcW w:type="dxa" w:w="896"/>
          </w:tcPr>
          <w:p>
            <w:pPr>
              <w:spacing w:after="0"/>
              <w:jc w:val="right"/>
            </w:pPr>
            <w:r/>
            <w:r>
              <w:rPr>
                <w:sz w:val="16"/>
              </w:rPr>
              <w:t>0.001</w:t>
            </w:r>
          </w:p>
        </w:tc>
        <w:tc>
          <w:tcPr>
            <w:tcW w:type="dxa" w:w="896"/>
          </w:tcPr>
          <w:p>
            <w:pPr>
              <w:spacing w:after="0"/>
              <w:jc w:val="right"/>
            </w:pPr>
            <w:r/>
            <w:r>
              <w:rPr>
                <w:sz w:val="16"/>
              </w:rPr>
              <w:t>0.041</w:t>
            </w:r>
          </w:p>
        </w:tc>
      </w:tr>
    </w:tbl>
    <w:p>
      <w:pPr>
        <w:spacing w:after="120"/>
      </w:pPr>
      <w:r>
        <w:rPr>
          <w:b w:val="0"/>
          <w:i/>
          <w:color w:val="4A5260"/>
          <w:sz w:val="16"/>
        </w:rPr>
        <w:t>M1: U-3, PCE, GDP, web share. M2: + net tone, prices-rising salience, layoffs/recession salience (all t−1). M3: + cumulative inflation, Δ mortgage rate, EPU, post-2025 transition. M3b: M3 without media, to isolate media's contribution given controls. Clark–West is the appropriate test for nested models.</w:t>
      </w:r>
    </w:p>
    <w:p>
      <w:pPr>
        <w:jc w:val="both"/>
      </w:pPr>
      <w:r>
        <w:rPr>
          <w:b/>
          <w:i w:val="0"/>
        </w:rPr>
        <w:t>FINDING:</w:t>
      </w:r>
      <w:r>
        <w:rPr>
          <w:b w:val="0"/>
          <w:i w:val="0"/>
        </w:rPr>
        <w:t xml:space="preserve"> adding corpus-based media measures does not reliably improve out-of-sample prediction: the Clark–West statistic is marginal (p = 0.03) but realised RMSE rises from 8.7 to 10.9; household-pressure and policy-uncertainty controls without media lower it to 6.6 (Clark–West p = 0.001). Given those controls, adding media gives p = 0.10 (M3 vs M3b) and a higher RMSE. Rolling 36-month coefficients are unstable (outputs/figures/fig_rolling_coefs.png).</w:t>
      </w:r>
    </w:p>
    <w:p>
      <w:pPr>
        <w:jc w:val="both"/>
      </w:pPr>
      <w:r>
        <w:rPr>
          <w:b/>
          <w:i w:val="0"/>
        </w:rPr>
        <w:t>What does line up with the gap: price salience.</w:t>
      </w:r>
      <w:r>
        <w:rPr>
          <w:b w:val="0"/>
          <w:i w:val="0"/>
        </w:rPr>
        <w:t xml:space="preserve"> The coverage measures most associated with the gap are about </w:t>
      </w:r>
      <w:r>
        <w:rPr>
          <w:b w:val="0"/>
          <w:i/>
        </w:rPr>
        <w:t>prices</w:t>
      </w:r>
      <w:r>
        <w:rPr>
          <w:b w:val="0"/>
          <w:i w:val="0"/>
        </w:rPr>
        <w:t xml:space="preserve">: the share of headlines on rising prices (standardised coefficient -0.44, Holm p &lt; 0.001), GDELT's share of US articles mentioning inflation (-0.56) and respondents' own recall of bad price news (-0.67). Tone itself (AI, FinBERT, GDELT) is weakly or not associated after correction. Because price coverage tracks actual price pressure (B2) and fails to add out-of-sample information beyond the household-pressure variables, the most defensible reading is that coverage </w:t>
      </w:r>
      <w:r>
        <w:rPr>
          <w:b w:val="0"/>
          <w:i/>
        </w:rPr>
        <w:t>transmits</w:t>
      </w:r>
      <w:r>
        <w:rPr>
          <w:b w:val="0"/>
          <w:i w:val="0"/>
        </w:rPr>
        <w:t xml:space="preserve"> the price-level grievance rather than creating it.</w:t>
      </w:r>
    </w:p>
    <w:p>
      <w:pPr>
        <w:jc w:val="both"/>
      </w:pPr>
      <w:r>
        <w:rPr>
          <w:b/>
          <w:i w:val="0"/>
        </w:rPr>
        <w:t>Sensitivity and multiple testing.</w:t>
      </w:r>
      <w:r>
        <w:rPr>
          <w:b w:val="0"/>
          <w:i w:val="0"/>
        </w:rPr>
        <w:t xml:space="preserve"> Across 24 measure × timing combinations (AI, FinBERT, dictionary and GDELT tone; excess negativity; emotional wording; level framing; salience; recall), 7 survive a Holm correction when regressing the gap on the measure with mode and transition controls (full table: outputs/tables/media_sensitivity.csv). Results are similar excluding 2020 or the web-transition months.</w:t>
      </w:r>
    </w:p>
    <w:p>
      <w:pPr>
        <w:jc w:val="both"/>
      </w:pPr>
      <w:r>
        <w:rPr>
          <w:b/>
          <w:i w:val="0"/>
        </w:rPr>
        <w:t>Reverse causality.</w:t>
      </w:r>
      <w:r>
        <w:rPr>
          <w:b w:val="0"/>
          <w:i w:val="0"/>
        </w:rPr>
        <w:t xml:space="preserve"> In monthly changes, tone→sentiment Granger p = 0.085 and sentiment→tone p = 0.125 (lag 3 by BIC). For Michigan's recall measure over 1978–2026 both directions are significant (p = 2.98e-10 and 4.26e-05): pessimistic respondents recall bad news and bad-news recall precedes pessimism — a feedback loop, not a one-way effect.</w:t>
      </w:r>
    </w:p>
    <w:p>
      <w:pPr>
        <w:jc w:val="both"/>
      </w:pPr>
      <w:r>
        <w:rPr>
          <w:b/>
          <w:i w:val="0"/>
        </w:rPr>
        <w:t>Placebo.</w:t>
      </w:r>
      <w:r>
        <w:rPr>
          <w:b w:val="0"/>
          <w:i w:val="0"/>
        </w:rPr>
        <w:t xml:space="preserve"> If media move sentiment, </w:t>
      </w:r>
      <w:r>
        <w:rPr>
          <w:b w:val="0"/>
          <w:i/>
        </w:rPr>
        <w:t>future</w:t>
      </w:r>
      <w:r>
        <w:rPr>
          <w:b w:val="0"/>
          <w:i w:val="0"/>
        </w:rPr>
        <w:t xml:space="preserve"> media should not predict </w:t>
      </w:r>
      <w:r>
        <w:rPr>
          <w:b w:val="0"/>
          <w:i/>
        </w:rPr>
        <w:t>current</w:t>
      </w:r>
      <w:r>
        <w:rPr>
          <w:b w:val="0"/>
          <w:i w:val="0"/>
        </w:rPr>
        <w:t xml:space="preserve"> sentiment. tone_net: lead coefficient p = 0.05 (lag p = 0.03); excess_negativity: lead coefficient p = 0.83 (lag p = 0.81); news_u_all: lead coefficient p = 0.37 (lag p = 0.76). A significant lead indicates common shocks or audience-driven coverage rather than media leading opinion.</w:t>
      </w:r>
    </w:p>
    <w:p>
      <w:pPr>
        <w:jc w:val="both"/>
      </w:pPr>
      <w:r>
        <w:rPr>
          <w:b/>
          <w:i w:val="0"/>
        </w:rPr>
        <w:t>Long-history recall test (1978–2026).</w:t>
      </w:r>
      <w:r>
        <w:rPr>
          <w:b w:val="0"/>
          <w:i w:val="0"/>
        </w:rPr>
        <w:t xml:space="preserve"> Respondents' net bad-news recall exceeded what fundamentals predict by 25 points in 2021–22 and 34 in 2025. Adding lagged recall to M1 cuts out-of-sample RMSE from 13.2 to 9.6 (Clark–West p &lt; 0.001) and the 2025–26 gap from -31.6 to -18.9. This is the strongest media-related association in the project — but it is recall from the same interview, it feeds back both ways, and it cannot separate what outlets published from what pessimistic consumers noticed (availability vs mood).</w:t>
      </w:r>
    </w:p>
    <w:p>
      <w:pPr>
        <w:jc w:val="both"/>
      </w:pPr>
      <w:r>
        <w:rPr>
          <w:b/>
          <w:i w:val="0"/>
        </w:rPr>
        <w:t>Causal design.</w:t>
      </w:r>
      <w:r>
        <w:rPr>
          <w:b w:val="0"/>
          <w:i w:val="0"/>
        </w:rPr>
        <w:t xml:space="preserve"> Given these limits we adopt the brief's third option — observational analysis plus a causal-design proposal (docs/CAUSAL_DESIGN.md): (i) a market-level shift-share design using media-diet exposure shares and cable channel-position instruments with geo-identified sentiment, testing pre-trends; (ii) a pre-registered, IRB-approved four-arm framing experiment (balanced vs rate vs price-level vs household framing of the same CPI release, N = 2,400, 2×2 cross-randomised partisan attribution). An experimental effect would apply to the sample; mapping it to the national index requires exposure shares by demographic cell, reweighting to Michigan's margins, an effect-decay estimate, and transportability assumptions (no unmeasured effect modifiers, comparable web measurement, no interference).</w:t>
      </w:r>
    </w:p>
    <w:p>
      <w:pPr>
        <w:pStyle w:val="Heading2"/>
      </w:pPr>
      <w:r>
        <w:t>6.1 A natural experiment: does sentiment follow the coverage each side reads?</w:t>
      </w:r>
    </w:p>
    <w:p>
      <w:pPr>
        <w:jc w:val="both"/>
      </w:pPr>
      <w:r>
        <w:rPr>
          <w:b w:val="0"/>
          <w:i w:val="0"/>
        </w:rPr>
        <w:t xml:space="preserve">Most analyses ask whether negative coverage </w:t>
      </w:r>
      <w:r>
        <w:rPr>
          <w:b w:val="0"/>
          <w:i/>
        </w:rPr>
        <w:t>correlates</w:t>
      </w:r>
      <w:r>
        <w:rPr>
          <w:b w:val="0"/>
          <w:i w:val="0"/>
        </w:rPr>
        <w:t xml:space="preserve"> with low sentiment. From first principles, a media-supply explanation makes a sharper prediction: when the presidency changed in January 2025, the outlets whose coverage turned more positive or negative should move the sentiment of </w:t>
      </w:r>
      <w:r>
        <w:rPr>
          <w:b w:val="0"/>
          <w:i/>
        </w:rPr>
        <w:t>their</w:t>
      </w:r>
      <w:r>
        <w:rPr>
          <w:b w:val="0"/>
          <w:i w:val="0"/>
        </w:rPr>
        <w:t xml:space="preserve"> audiences, and aggregate coverage should move with aggregate sentiment. Using identical economy queries for every outlet, with outlet and month fixed effects (so the facts are held constant), right-leaning outlets' net tone rose by +0.41 under Trump-2 relative to Biden (p &lt; 0.001) — and, symmetrically, had been 0.33 higher under Trump-1, so outlet slant flips with the party in power in both transitions. Michigan's party series moved far more: Republicans +52 points, Democrats -34, independents -8 (June 2022 vs May 2026 troughs).</w:t>
      </w:r>
    </w:p>
    <w:p>
      <w:pPr>
        <w:jc w:val="both"/>
      </w:pPr>
      <w:r>
        <w:rPr>
          <w:b/>
          <w:i w:val="0"/>
        </w:rPr>
        <w:t>Robustness to the relevance filter.</w:t>
      </w:r>
      <w:r>
        <w:rPr>
          <w:b w:val="0"/>
          <w:i w:val="0"/>
        </w:rPr>
        <w:t xml:space="preserve"> Under the main (high-precision) filter, left-leaning outlets did not change (-0.06, p = 0.32); under the broader keyword-only filter they turned modestly more negative (-0.11, p = 0.007). So we do </w:t>
      </w:r>
      <w:r>
        <w:rPr>
          <w:b/>
          <w:i w:val="0"/>
        </w:rPr>
        <w:t>not</w:t>
      </w:r>
      <w:r>
        <w:rPr>
          <w:b w:val="0"/>
          <w:i w:val="0"/>
        </w:rPr>
        <w:t xml:space="preserve"> claim that Democrats' coverage was unchanged; their decline may partly track their outlets. What is robust under both filters is (i) partisan slant (-0.43 and -0.23, both p &lt; 0.001), (ii) the right-leaning swing (+0.40, +0.16) and (iii) the magnitude argument: aggregate coverage tone changed by +0.014 (main) or -0.033 (broad) between the Biden years and 2025–26. With the estimated tone–gap slope (≈27 points per unit), even the less favourable figure implies about 0.9 point of sentiment — against an actual fall of about 14.5 points. </w:t>
      </w:r>
      <w:r>
        <w:rPr>
          <w:b/>
          <w:i w:val="0"/>
        </w:rPr>
        <w:t>FINDING:</w:t>
      </w:r>
      <w:r>
        <w:rPr>
          <w:b w:val="0"/>
          <w:i w:val="0"/>
        </w:rPr>
        <w:t xml:space="preserve"> whatever partisan slant does to individual audiences, the aggregate supply of economic coverage did not deteriorate nearly enough to produce the 2025–26 collapse; a media-bias explanation of the national gap fails this test.</w:t>
      </w:r>
    </w:p>
    <w:p>
      <w:pPr>
        <w:spacing w:after="40"/>
      </w:pPr>
      <w:r>
        <w:rPr>
          <w:b/>
          <w:i w:val="0"/>
          <w:sz w:val="19"/>
        </w:rPr>
        <w:t>Table 10. Coverage supply vs sentiment across administrations (same queries, monthly averages).</w:t>
      </w:r>
    </w:p>
    <w:tbl>
      <w:tblPr>
        <w:tblStyle w:val="TableGrid"/>
        <w:tblW w:type="auto" w:w="0"/>
        <w:jc w:val="center"/>
        <w:tblLayout w:type="fixed"/>
        <w:tblLook w:firstColumn="1" w:firstRow="1" w:lastColumn="0" w:lastRow="0" w:noHBand="0" w:noVBand="1" w:val="04A0"/>
      </w:tblPr>
      <w:tblGrid>
        <w:gridCol w:w="3377"/>
        <w:gridCol w:w="1254"/>
        <w:gridCol w:w="1254"/>
        <w:gridCol w:w="1254"/>
        <w:gridCol w:w="1254"/>
        <w:gridCol w:w="1254"/>
      </w:tblGrid>
      <w:tr>
        <w:tc>
          <w:tcPr>
            <w:tcW w:type="dxa" w:w="3377"/>
            <w:shd w:val="clear" w:color="auto" w:fill="E8EDF4"/>
          </w:tcPr>
          <w:p>
            <w:pPr>
              <w:spacing w:after="0"/>
            </w:pPr>
            <w:r/>
            <w:r>
              <w:rPr>
                <w:b/>
                <w:sz w:val="16"/>
              </w:rPr>
              <w:t>administration</w:t>
            </w:r>
          </w:p>
        </w:tc>
        <w:tc>
          <w:tcPr>
            <w:tcW w:type="dxa" w:w="1254"/>
            <w:shd w:val="clear" w:color="auto" w:fill="E8EDF4"/>
          </w:tcPr>
          <w:p>
            <w:pPr>
              <w:spacing w:after="0"/>
            </w:pPr>
            <w:r/>
            <w:r>
              <w:rPr>
                <w:b/>
                <w:sz w:val="16"/>
              </w:rPr>
              <w:t>AI net tone</w:t>
            </w:r>
          </w:p>
        </w:tc>
        <w:tc>
          <w:tcPr>
            <w:tcW w:type="dxa" w:w="1254"/>
            <w:shd w:val="clear" w:color="auto" w:fill="E8EDF4"/>
          </w:tcPr>
          <w:p>
            <w:pPr>
              <w:spacing w:after="0"/>
            </w:pPr>
            <w:r/>
            <w:r>
              <w:rPr>
                <w:b/>
                <w:sz w:val="16"/>
              </w:rPr>
              <w:t>FinBERT tone</w:t>
            </w:r>
          </w:p>
        </w:tc>
        <w:tc>
          <w:tcPr>
            <w:tcW w:type="dxa" w:w="1254"/>
            <w:shd w:val="clear" w:color="auto" w:fill="E8EDF4"/>
          </w:tcPr>
          <w:p>
            <w:pPr>
              <w:spacing w:after="0"/>
            </w:pPr>
            <w:r/>
            <w:r>
              <w:rPr>
                <w:b/>
                <w:sz w:val="16"/>
              </w:rPr>
              <w:t>GDELT full-text tone</w:t>
            </w:r>
          </w:p>
        </w:tc>
        <w:tc>
          <w:tcPr>
            <w:tcW w:type="dxa" w:w="1254"/>
            <w:shd w:val="clear" w:color="auto" w:fill="E8EDF4"/>
          </w:tcPr>
          <w:p>
            <w:pPr>
              <w:spacing w:after="0"/>
            </w:pPr>
            <w:r/>
            <w:r>
              <w:rPr>
                <w:b/>
                <w:sz w:val="16"/>
              </w:rPr>
              <w:t>Share of headlines on rising prices</w:t>
            </w:r>
          </w:p>
        </w:tc>
        <w:tc>
          <w:tcPr>
            <w:tcW w:type="dxa" w:w="1254"/>
            <w:shd w:val="clear" w:color="auto" w:fill="E8EDF4"/>
          </w:tcPr>
          <w:p>
            <w:pPr>
              <w:spacing w:after="0"/>
            </w:pPr>
            <w:r/>
            <w:r>
              <w:rPr>
                <w:b/>
                <w:sz w:val="16"/>
              </w:rPr>
              <w:t>Michigan ICS (mean)</w:t>
            </w:r>
          </w:p>
        </w:tc>
      </w:tr>
      <w:tr>
        <w:tc>
          <w:tcPr>
            <w:tcW w:type="dxa" w:w="3377"/>
          </w:tcPr>
          <w:p>
            <w:pPr>
              <w:spacing w:after="0"/>
              <w:jc w:val="left"/>
            </w:pPr>
            <w:r/>
            <w:r>
              <w:rPr>
                <w:sz w:val="16"/>
              </w:rPr>
              <w:t>Trump-1 (2017–20)</w:t>
            </w:r>
          </w:p>
        </w:tc>
        <w:tc>
          <w:tcPr>
            <w:tcW w:type="dxa" w:w="1254"/>
          </w:tcPr>
          <w:p>
            <w:pPr>
              <w:spacing w:after="0"/>
              <w:jc w:val="right"/>
            </w:pPr>
            <w:r/>
            <w:r>
              <w:rPr>
                <w:sz w:val="16"/>
              </w:rPr>
              <w:t>-0.23</w:t>
            </w:r>
          </w:p>
        </w:tc>
        <w:tc>
          <w:tcPr>
            <w:tcW w:type="dxa" w:w="1254"/>
          </w:tcPr>
          <w:p>
            <w:pPr>
              <w:spacing w:after="0"/>
              <w:jc w:val="right"/>
            </w:pPr>
            <w:r/>
            <w:r>
              <w:rPr>
                <w:sz w:val="16"/>
              </w:rPr>
              <w:t>-0.23</w:t>
            </w:r>
          </w:p>
        </w:tc>
        <w:tc>
          <w:tcPr>
            <w:tcW w:type="dxa" w:w="1254"/>
          </w:tcPr>
          <w:p>
            <w:pPr>
              <w:spacing w:after="0"/>
              <w:jc w:val="right"/>
            </w:pPr>
            <w:r/>
            <w:r>
              <w:rPr>
                <w:sz w:val="16"/>
              </w:rPr>
              <w:t>-1.17</w:t>
            </w:r>
          </w:p>
        </w:tc>
        <w:tc>
          <w:tcPr>
            <w:tcW w:type="dxa" w:w="1254"/>
          </w:tcPr>
          <w:p>
            <w:pPr>
              <w:spacing w:after="0"/>
              <w:jc w:val="right"/>
            </w:pPr>
            <w:r/>
            <w:r>
              <w:rPr>
                <w:sz w:val="16"/>
              </w:rPr>
              <w:t>22%</w:t>
            </w:r>
          </w:p>
        </w:tc>
        <w:tc>
          <w:tcPr>
            <w:tcW w:type="dxa" w:w="1254"/>
          </w:tcPr>
          <w:p>
            <w:pPr>
              <w:spacing w:after="0"/>
              <w:jc w:val="right"/>
            </w:pPr>
            <w:r/>
            <w:r>
              <w:rPr>
                <w:sz w:val="16"/>
              </w:rPr>
              <w:t>93.1</w:t>
            </w:r>
          </w:p>
        </w:tc>
      </w:tr>
      <w:tr>
        <w:tc>
          <w:tcPr>
            <w:tcW w:type="dxa" w:w="3377"/>
          </w:tcPr>
          <w:p>
            <w:pPr>
              <w:spacing w:after="0"/>
              <w:jc w:val="left"/>
            </w:pPr>
            <w:r/>
            <w:r>
              <w:rPr>
                <w:sz w:val="16"/>
              </w:rPr>
              <w:t>Biden (2021–24)</w:t>
            </w:r>
          </w:p>
        </w:tc>
        <w:tc>
          <w:tcPr>
            <w:tcW w:type="dxa" w:w="1254"/>
          </w:tcPr>
          <w:p>
            <w:pPr>
              <w:spacing w:after="0"/>
              <w:jc w:val="right"/>
            </w:pPr>
            <w:r/>
            <w:r>
              <w:rPr>
                <w:sz w:val="16"/>
              </w:rPr>
              <w:t>-0.29</w:t>
            </w:r>
          </w:p>
        </w:tc>
        <w:tc>
          <w:tcPr>
            <w:tcW w:type="dxa" w:w="1254"/>
          </w:tcPr>
          <w:p>
            <w:pPr>
              <w:spacing w:after="0"/>
              <w:jc w:val="right"/>
            </w:pPr>
            <w:r/>
            <w:r>
              <w:rPr>
                <w:sz w:val="16"/>
              </w:rPr>
              <w:t>-0.22</w:t>
            </w:r>
          </w:p>
        </w:tc>
        <w:tc>
          <w:tcPr>
            <w:tcW w:type="dxa" w:w="1254"/>
          </w:tcPr>
          <w:p>
            <w:pPr>
              <w:spacing w:after="0"/>
              <w:jc w:val="right"/>
            </w:pPr>
            <w:r/>
            <w:r>
              <w:rPr>
                <w:sz w:val="16"/>
              </w:rPr>
              <w:t>-0.79</w:t>
            </w:r>
          </w:p>
        </w:tc>
        <w:tc>
          <w:tcPr>
            <w:tcW w:type="dxa" w:w="1254"/>
          </w:tcPr>
          <w:p>
            <w:pPr>
              <w:spacing w:after="0"/>
              <w:jc w:val="right"/>
            </w:pPr>
            <w:r/>
            <w:r>
              <w:rPr>
                <w:sz w:val="16"/>
              </w:rPr>
              <w:t>36%</w:t>
            </w:r>
          </w:p>
        </w:tc>
        <w:tc>
          <w:tcPr>
            <w:tcW w:type="dxa" w:w="1254"/>
          </w:tcPr>
          <w:p>
            <w:pPr>
              <w:spacing w:after="0"/>
              <w:jc w:val="right"/>
            </w:pPr>
            <w:r/>
            <w:r>
              <w:rPr>
                <w:sz w:val="16"/>
              </w:rPr>
              <w:t>68.4</w:t>
            </w:r>
          </w:p>
        </w:tc>
      </w:tr>
      <w:tr>
        <w:tc>
          <w:tcPr>
            <w:tcW w:type="dxa" w:w="3377"/>
          </w:tcPr>
          <w:p>
            <w:pPr>
              <w:spacing w:after="0"/>
              <w:jc w:val="left"/>
            </w:pPr>
            <w:r/>
            <w:r>
              <w:rPr>
                <w:sz w:val="16"/>
              </w:rPr>
              <w:t>Trump-2 (2025–26)</w:t>
            </w:r>
          </w:p>
        </w:tc>
        <w:tc>
          <w:tcPr>
            <w:tcW w:type="dxa" w:w="1254"/>
          </w:tcPr>
          <w:p>
            <w:pPr>
              <w:spacing w:after="0"/>
              <w:jc w:val="right"/>
            </w:pPr>
            <w:r/>
            <w:r>
              <w:rPr>
                <w:sz w:val="16"/>
              </w:rPr>
              <w:t>-0.27</w:t>
            </w:r>
          </w:p>
        </w:tc>
        <w:tc>
          <w:tcPr>
            <w:tcW w:type="dxa" w:w="1254"/>
          </w:tcPr>
          <w:p>
            <w:pPr>
              <w:spacing w:after="0"/>
              <w:jc w:val="right"/>
            </w:pPr>
            <w:r/>
            <w:r>
              <w:rPr>
                <w:sz w:val="16"/>
              </w:rPr>
              <w:t>-0.24</w:t>
            </w:r>
          </w:p>
        </w:tc>
        <w:tc>
          <w:tcPr>
            <w:tcW w:type="dxa" w:w="1254"/>
          </w:tcPr>
          <w:p>
            <w:pPr>
              <w:spacing w:after="0"/>
              <w:jc w:val="right"/>
            </w:pPr>
            <w:r/>
            <w:r>
              <w:rPr>
                <w:sz w:val="16"/>
              </w:rPr>
              <w:t>-0.74</w:t>
            </w:r>
          </w:p>
        </w:tc>
        <w:tc>
          <w:tcPr>
            <w:tcW w:type="dxa" w:w="1254"/>
          </w:tcPr>
          <w:p>
            <w:pPr>
              <w:spacing w:after="0"/>
              <w:jc w:val="right"/>
            </w:pPr>
            <w:r/>
            <w:r>
              <w:rPr>
                <w:sz w:val="16"/>
              </w:rPr>
              <w:t>29%</w:t>
            </w:r>
          </w:p>
        </w:tc>
        <w:tc>
          <w:tcPr>
            <w:tcW w:type="dxa" w:w="1254"/>
          </w:tcPr>
          <w:p>
            <w:pPr>
              <w:spacing w:after="0"/>
              <w:jc w:val="right"/>
            </w:pPr>
            <w:r/>
            <w:r>
              <w:rPr>
                <w:sz w:val="16"/>
              </w:rPr>
              <w:t>53.9</w:t>
            </w:r>
          </w:p>
        </w:tc>
      </w:tr>
    </w:tbl>
    <w:p>
      <w:pPr>
        <w:spacing w:after="120"/>
      </w:pPr>
      <w:r>
        <w:rPr>
          <w:b w:val="0"/>
          <w:i/>
          <w:color w:val="4A5260"/>
          <w:sz w:val="16"/>
        </w:rPr>
        <w:t>Caveats: lean groups follow AllSides outlet ratings; audiences are inferred from outlet lean, not measured; party readings are Michigan's published 3-month averages for two troughs. This is a design-based argument, not a causal estimate.</w:t>
      </w:r>
    </w:p>
    <w:p>
      <w:pPr>
        <w:jc w:val="center"/>
      </w:pPr>
      <w:r>
        <w:drawing>
          <wp:inline xmlns:a="http://schemas.openxmlformats.org/drawingml/2006/main" xmlns:pic="http://schemas.openxmlformats.org/drawingml/2006/picture">
            <wp:extent cx="4754880" cy="1634490"/>
            <wp:docPr id="4" name="Picture 4"/>
            <wp:cNvGraphicFramePr>
              <a:graphicFrameLocks noChangeAspect="1"/>
            </wp:cNvGraphicFramePr>
            <a:graphic>
              <a:graphicData uri="http://schemas.openxmlformats.org/drawingml/2006/picture">
                <pic:pic>
                  <pic:nvPicPr>
                    <pic:cNvPr id="0" name="fig_transition_test.png"/>
                    <pic:cNvPicPr/>
                  </pic:nvPicPr>
                  <pic:blipFill>
                    <a:blip r:embed="rId13"/>
                    <a:stretch>
                      <a:fillRect/>
                    </a:stretch>
                  </pic:blipFill>
                  <pic:spPr>
                    <a:xfrm>
                      <a:off x="0" y="0"/>
                      <a:ext cx="4754880" cy="1634490"/>
                    </a:xfrm>
                    <a:prstGeom prst="rect"/>
                  </pic:spPr>
                </pic:pic>
              </a:graphicData>
            </a:graphic>
          </wp:inline>
        </w:drawing>
      </w:r>
    </w:p>
    <w:p>
      <w:pPr>
        <w:spacing w:after="120"/>
      </w:pPr>
      <w:r>
        <w:rPr>
          <w:b w:val="0"/>
          <w:i/>
          <w:color w:val="4A5260"/>
          <w:sz w:val="17"/>
        </w:rPr>
        <w:t>Figure 4. Left: AI net tone of identical economy queries by outlet lean and administration. Right: Michigan sentiment by party at the 2022 and 2026 troughs.</w:t>
      </w:r>
    </w:p>
    <w:p>
      <w:pPr>
        <w:pStyle w:val="Heading1"/>
      </w:pPr>
      <w:r>
        <w:t>7. Which perceptual mechanisms can the data actually measure? (RQ4)</w:t>
      </w:r>
    </w:p>
    <w:p>
      <w:pPr>
        <w:jc w:val="both"/>
      </w:pPr>
      <w:r>
        <w:rPr>
          <w:b/>
          <w:i w:val="0"/>
        </w:rPr>
        <w:t>Measured directly (supply side):</w:t>
      </w:r>
      <w:r>
        <w:rPr>
          <w:b w:val="0"/>
          <w:i w:val="0"/>
        </w:rPr>
        <w:t xml:space="preserve"> negativity asymmetry in coverage (B1 — not found), level-vs-rate framing and price salience (Section 5). </w:t>
      </w:r>
      <w:r>
        <w:rPr>
          <w:b/>
          <w:i w:val="0"/>
        </w:rPr>
        <w:t>Measured by proxy:</w:t>
      </w:r>
      <w:r>
        <w:rPr>
          <w:b w:val="0"/>
          <w:i w:val="0"/>
        </w:rPr>
        <w:t xml:space="preserve"> anchoring to past prices ('worse off: higher prices' after disinflation) and </w:t>
      </w:r>
      <w:r>
        <w:rPr>
          <w:b w:val="0"/>
          <w:i/>
        </w:rPr>
        <w:t>experience effects</w:t>
      </w:r>
      <w:r>
        <w:rPr>
          <w:b w:val="0"/>
          <w:i w:val="0"/>
        </w:rPr>
        <w:t xml:space="preserve"> — lifetime-experienced inflation shapes each age group's expectations and sentiment (Section 4, a significant within-month result). </w:t>
      </w:r>
      <w:r>
        <w:rPr>
          <w:b/>
          <w:i w:val="0"/>
        </w:rPr>
        <w:t>Indirect only:</w:t>
      </w:r>
      <w:r>
        <w:rPr>
          <w:b w:val="0"/>
          <w:i w:val="0"/>
        </w:rPr>
        <w:t xml:space="preserve"> partisan motivated reasoning (Michigan party data, outlet slant, Section 6.1). </w:t>
      </w:r>
      <w:r>
        <w:rPr>
          <w:b/>
          <w:i w:val="0"/>
        </w:rPr>
        <w:t>Not measurable here:</w:t>
      </w:r>
      <w:r>
        <w:rPr>
          <w:b w:val="0"/>
          <w:i w:val="0"/>
        </w:rPr>
        <w:t xml:space="preserve"> availability and confirmation bias in readers — they require individual exposure and belief data; Michigan's 'news heard' is recall, not exposure. Text establishes framing and selective coverage; it cannot by itself establish a reader's cognitive bias.</w:t>
      </w:r>
    </w:p>
    <w:p>
      <w:pPr>
        <w:pStyle w:val="Heading1"/>
      </w:pPr>
      <w:r>
        <w:t>8. What evidence would contradict a media-bias explanation? (RQ6) — scorecard</w:t>
      </w:r>
    </w:p>
    <w:p>
      <w:pPr>
        <w:spacing w:after="40"/>
      </w:pPr>
      <w:r>
        <w:rPr>
          <w:b/>
          <w:i w:val="0"/>
          <w:sz w:val="19"/>
        </w:rPr>
        <w:t>Table 11. Falsification scorecard.</w:t>
      </w:r>
    </w:p>
    <w:tbl>
      <w:tblPr>
        <w:tblStyle w:val="TableGrid"/>
        <w:tblW w:type="auto" w:w="0"/>
        <w:jc w:val="center"/>
        <w:tblLayout w:type="fixed"/>
        <w:tblLook w:firstColumn="1" w:firstRow="1" w:lastColumn="0" w:lastRow="0" w:noHBand="0" w:noVBand="1" w:val="04A0"/>
      </w:tblPr>
      <w:tblGrid>
        <w:gridCol w:w="3377"/>
        <w:gridCol w:w="3136"/>
        <w:gridCol w:w="3136"/>
      </w:tblGrid>
      <w:tr>
        <w:tc>
          <w:tcPr>
            <w:tcW w:type="dxa" w:w="3377"/>
            <w:shd w:val="clear" w:color="auto" w:fill="E8EDF4"/>
          </w:tcPr>
          <w:p>
            <w:pPr>
              <w:spacing w:after="0"/>
            </w:pPr>
            <w:r/>
            <w:r>
              <w:rPr>
                <w:b/>
                <w:sz w:val="16"/>
              </w:rPr>
              <w:t>Contradicting evidence (pre-specified)</w:t>
            </w:r>
          </w:p>
        </w:tc>
        <w:tc>
          <w:tcPr>
            <w:tcW w:type="dxa" w:w="3136"/>
            <w:shd w:val="clear" w:color="auto" w:fill="E8EDF4"/>
          </w:tcPr>
          <w:p>
            <w:pPr>
              <w:spacing w:after="0"/>
            </w:pPr>
            <w:r/>
            <w:r>
              <w:rPr>
                <w:b/>
                <w:sz w:val="16"/>
              </w:rPr>
              <w:t>Test</w:t>
            </w:r>
          </w:p>
        </w:tc>
        <w:tc>
          <w:tcPr>
            <w:tcW w:type="dxa" w:w="3136"/>
            <w:shd w:val="clear" w:color="auto" w:fill="E8EDF4"/>
          </w:tcPr>
          <w:p>
            <w:pPr>
              <w:spacing w:after="0"/>
            </w:pPr>
            <w:r/>
            <w:r>
              <w:rPr>
                <w:b/>
                <w:sz w:val="16"/>
              </w:rPr>
              <w:t>Result</w:t>
            </w:r>
          </w:p>
        </w:tc>
      </w:tr>
      <w:tr>
        <w:tc>
          <w:tcPr>
            <w:tcW w:type="dxa" w:w="3377"/>
          </w:tcPr>
          <w:p>
            <w:pPr>
              <w:spacing w:after="0"/>
              <w:jc w:val="left"/>
            </w:pPr>
            <w:r/>
            <w:r>
              <w:rPr>
                <w:sz w:val="16"/>
              </w:rPr>
              <w:t>Coverage negativity fully explained by fundamentals; symmetric to good/bad news</w:t>
            </w:r>
          </w:p>
        </w:tc>
        <w:tc>
          <w:tcPr>
            <w:tcW w:type="dxa" w:w="3136"/>
          </w:tcPr>
          <w:p>
            <w:pPr>
              <w:spacing w:after="0"/>
              <w:jc w:val="right"/>
            </w:pPr>
            <w:r/>
            <w:r>
              <w:rPr>
                <w:sz w:val="16"/>
              </w:rPr>
              <w:t>B1, B4</w:t>
            </w:r>
          </w:p>
        </w:tc>
        <w:tc>
          <w:tcPr>
            <w:tcW w:type="dxa" w:w="3136"/>
          </w:tcPr>
          <w:p>
            <w:pPr>
              <w:spacing w:after="0"/>
              <w:jc w:val="right"/>
            </w:pPr>
            <w:r/>
            <w:r>
              <w:rPr>
                <w:sz w:val="16"/>
              </w:rPr>
              <w:t>Contradicts</w:t>
            </w:r>
          </w:p>
        </w:tc>
      </w:tr>
      <w:tr>
        <w:tc>
          <w:tcPr>
            <w:tcW w:type="dxa" w:w="3377"/>
          </w:tcPr>
          <w:p>
            <w:pPr>
              <w:spacing w:after="0"/>
              <w:jc w:val="left"/>
            </w:pPr>
            <w:r/>
            <w:r>
              <w:rPr>
                <w:sz w:val="16"/>
              </w:rPr>
              <w:t>Media measures add no out-of-sample predictive content</w:t>
            </w:r>
          </w:p>
        </w:tc>
        <w:tc>
          <w:tcPr>
            <w:tcW w:type="dxa" w:w="3136"/>
          </w:tcPr>
          <w:p>
            <w:pPr>
              <w:spacing w:after="0"/>
              <w:jc w:val="right"/>
            </w:pPr>
            <w:r/>
            <w:r>
              <w:rPr>
                <w:sz w:val="16"/>
              </w:rPr>
              <w:t>Table 9</w:t>
            </w:r>
          </w:p>
        </w:tc>
        <w:tc>
          <w:tcPr>
            <w:tcW w:type="dxa" w:w="3136"/>
          </w:tcPr>
          <w:p>
            <w:pPr>
              <w:spacing w:after="0"/>
              <w:jc w:val="right"/>
            </w:pPr>
            <w:r/>
            <w:r>
              <w:rPr>
                <w:sz w:val="16"/>
              </w:rPr>
              <w:t>Contradicts</w:t>
            </w:r>
          </w:p>
        </w:tc>
      </w:tr>
      <w:tr>
        <w:tc>
          <w:tcPr>
            <w:tcW w:type="dxa" w:w="3377"/>
          </w:tcPr>
          <w:p>
            <w:pPr>
              <w:spacing w:after="0"/>
              <w:jc w:val="left"/>
            </w:pPr>
            <w:r/>
            <w:r>
              <w:rPr>
                <w:sz w:val="16"/>
              </w:rPr>
              <w:t>Sentiment leads media, or future media 'predict' current sentiment</w:t>
            </w:r>
          </w:p>
        </w:tc>
        <w:tc>
          <w:tcPr>
            <w:tcW w:type="dxa" w:w="3136"/>
          </w:tcPr>
          <w:p>
            <w:pPr>
              <w:spacing w:after="0"/>
              <w:jc w:val="right"/>
            </w:pPr>
            <w:r/>
            <w:r>
              <w:rPr>
                <w:sz w:val="16"/>
              </w:rPr>
              <w:t>Granger, placebo</w:t>
            </w:r>
          </w:p>
        </w:tc>
        <w:tc>
          <w:tcPr>
            <w:tcW w:type="dxa" w:w="3136"/>
          </w:tcPr>
          <w:p>
            <w:pPr>
              <w:spacing w:after="0"/>
              <w:jc w:val="right"/>
            </w:pPr>
            <w:r/>
            <w:r>
              <w:rPr>
                <w:sz w:val="16"/>
              </w:rPr>
              <w:t>Mixed (feedback both ways)</w:t>
            </w:r>
          </w:p>
        </w:tc>
      </w:tr>
      <w:tr>
        <w:tc>
          <w:tcPr>
            <w:tcW w:type="dxa" w:w="3377"/>
          </w:tcPr>
          <w:p>
            <w:pPr>
              <w:spacing w:after="0"/>
              <w:jc w:val="left"/>
            </w:pPr>
            <w:r/>
            <w:r>
              <w:rPr>
                <w:sz w:val="16"/>
              </w:rPr>
              <w:t>Decline equally large in less-exposed groups / explained by group hardship within month</w:t>
            </w:r>
          </w:p>
        </w:tc>
        <w:tc>
          <w:tcPr>
            <w:tcW w:type="dxa" w:w="3136"/>
          </w:tcPr>
          <w:p>
            <w:pPr>
              <w:spacing w:after="0"/>
              <w:jc w:val="right"/>
            </w:pPr>
            <w:r/>
            <w:r>
              <w:rPr>
                <w:sz w:val="16"/>
              </w:rPr>
              <w:t>Section 4</w:t>
            </w:r>
          </w:p>
        </w:tc>
        <w:tc>
          <w:tcPr>
            <w:tcW w:type="dxa" w:w="3136"/>
          </w:tcPr>
          <w:p>
            <w:pPr>
              <w:spacing w:after="0"/>
              <w:jc w:val="right"/>
            </w:pPr>
            <w:r/>
            <w:r>
              <w:rPr>
                <w:sz w:val="16"/>
              </w:rPr>
              <w:t>Partly contradicts (broad-based; hardship significant within month)</w:t>
            </w:r>
          </w:p>
        </w:tc>
      </w:tr>
      <w:tr>
        <w:tc>
          <w:tcPr>
            <w:tcW w:type="dxa" w:w="3377"/>
          </w:tcPr>
          <w:p>
            <w:pPr>
              <w:spacing w:after="0"/>
              <w:jc w:val="left"/>
            </w:pPr>
            <w:r/>
            <w:r>
              <w:rPr>
                <w:sz w:val="16"/>
              </w:rPr>
              <w:t>Partisan flips at transitions dominate</w:t>
            </w:r>
          </w:p>
        </w:tc>
        <w:tc>
          <w:tcPr>
            <w:tcW w:type="dxa" w:w="3136"/>
          </w:tcPr>
          <w:p>
            <w:pPr>
              <w:spacing w:after="0"/>
              <w:jc w:val="right"/>
            </w:pPr>
            <w:r/>
            <w:r>
              <w:rPr>
                <w:sz w:val="16"/>
              </w:rPr>
              <w:t>Michigan party data</w:t>
            </w:r>
          </w:p>
        </w:tc>
        <w:tc>
          <w:tcPr>
            <w:tcW w:type="dxa" w:w="3136"/>
          </w:tcPr>
          <w:p>
            <w:pPr>
              <w:spacing w:after="0"/>
              <w:jc w:val="right"/>
            </w:pPr>
            <w:r/>
            <w:r>
              <w:rPr>
                <w:sz w:val="16"/>
              </w:rPr>
              <w:t>Partly contradicts (party-in-power pattern; composition shift)</w:t>
            </w:r>
          </w:p>
        </w:tc>
      </w:tr>
      <w:tr>
        <w:tc>
          <w:tcPr>
            <w:tcW w:type="dxa" w:w="3377"/>
          </w:tcPr>
          <w:p>
            <w:pPr>
              <w:spacing w:after="0"/>
              <w:jc w:val="left"/>
            </w:pPr>
            <w:r/>
            <w:r>
              <w:rPr>
                <w:sz w:val="16"/>
              </w:rPr>
              <w:t>Aggregate coverage should deteriorate with aggregate sentiment (2025 transition)</w:t>
            </w:r>
          </w:p>
        </w:tc>
        <w:tc>
          <w:tcPr>
            <w:tcW w:type="dxa" w:w="3136"/>
          </w:tcPr>
          <w:p>
            <w:pPr>
              <w:spacing w:after="0"/>
              <w:jc w:val="right"/>
            </w:pPr>
            <w:r/>
            <w:r>
              <w:rPr>
                <w:sz w:val="16"/>
              </w:rPr>
              <w:t>Section 6.1</w:t>
            </w:r>
          </w:p>
        </w:tc>
        <w:tc>
          <w:tcPr>
            <w:tcW w:type="dxa" w:w="3136"/>
          </w:tcPr>
          <w:p>
            <w:pPr>
              <w:spacing w:after="0"/>
              <w:jc w:val="right"/>
            </w:pPr>
            <w:r/>
            <w:r>
              <w:rPr>
                <w:sz w:val="16"/>
              </w:rPr>
              <w:t>Contradicts: tone change implies &lt;1 pt vs a 14.5-pt fall (robust to filter)</w:t>
            </w:r>
          </w:p>
        </w:tc>
      </w:tr>
      <w:tr>
        <w:tc>
          <w:tcPr>
            <w:tcW w:type="dxa" w:w="3377"/>
          </w:tcPr>
          <w:p>
            <w:pPr>
              <w:spacing w:after="0"/>
              <w:jc w:val="left"/>
            </w:pPr>
            <w:r/>
            <w:r>
              <w:rPr>
                <w:sz w:val="16"/>
              </w:rPr>
              <w:t>Truthful reframing has negligible experimental effect</w:t>
            </w:r>
          </w:p>
        </w:tc>
        <w:tc>
          <w:tcPr>
            <w:tcW w:type="dxa" w:w="3136"/>
          </w:tcPr>
          <w:p>
            <w:pPr>
              <w:spacing w:after="0"/>
              <w:jc w:val="right"/>
            </w:pPr>
            <w:r/>
            <w:r>
              <w:rPr>
                <w:sz w:val="16"/>
              </w:rPr>
              <w:t>Experiment (proposed)</w:t>
            </w:r>
          </w:p>
        </w:tc>
        <w:tc>
          <w:tcPr>
            <w:tcW w:type="dxa" w:w="3136"/>
          </w:tcPr>
          <w:p>
            <w:pPr>
              <w:spacing w:after="0"/>
              <w:jc w:val="right"/>
            </w:pPr>
            <w:r/>
            <w:r>
              <w:rPr>
                <w:sz w:val="16"/>
              </w:rPr>
              <w:t>Not yet tested</w:t>
            </w:r>
          </w:p>
        </w:tc>
      </w:tr>
    </w:tbl>
    <w:p>
      <w:pPr>
        <w:spacing w:after="120"/>
      </w:pPr>
      <w:r>
        <w:rPr>
          <w:b w:val="0"/>
          <w:i/>
          <w:color w:val="4A5260"/>
          <w:sz w:val="16"/>
        </w:rPr>
        <w:t>Taken together: the evidence is more consistent with E1 (real price-level and income pressures) and E3 (measurement/model change), with media acting as an amplifying feedback channel at most — a hypothesis, not a finding.</w:t>
      </w:r>
    </w:p>
    <w:p>
      <w:pPr>
        <w:pStyle w:val="Heading1"/>
      </w:pPr>
      <w:r>
        <w:t>9. Pre-election monitoring, partisanship and survey method</w:t>
      </w:r>
    </w:p>
    <w:p>
      <w:pPr>
        <w:jc w:val="both"/>
      </w:pPr>
      <w:r>
        <w:rPr>
          <w:b/>
          <w:i w:val="0"/>
        </w:rPr>
        <w:t>Dashboard.</w:t>
      </w:r>
      <w:r>
        <w:rPr>
          <w:b w:val="0"/>
          <w:i w:val="0"/>
        </w:rPr>
        <w:t xml:space="preserve"> dashboard/index.html (rebuilt by run_all.sh) shows sentiment vs the real-time prediction with 80/95% intervals, the gap, media tone/salience/framing/calibration, recall, group indices, releases and events, corpus composition, missingness and model-performance indicators. </w:t>
      </w:r>
      <w:r>
        <w:rPr>
          <w:b/>
          <w:i w:val="0"/>
        </w:rPr>
        <w:t>Cut-off:</w:t>
      </w:r>
      <w:r>
        <w:rPr>
          <w:b w:val="0"/>
          <w:i w:val="0"/>
        </w:rPr>
        <w:t xml:space="preserve"> 16 October 2026. </w:t>
      </w:r>
      <w:r>
        <w:rPr>
          <w:b/>
          <w:i w:val="0"/>
        </w:rPr>
        <w:t>Update plan:</w:t>
      </w:r>
      <w:r>
        <w:rPr>
          <w:b w:val="0"/>
          <w:i w:val="0"/>
        </w:rPr>
        <w:t xml:space="preserve"> re-run after Michigan's October final (~30 Oct), the Q3 GDP advance estimate (late October — it enters the information set only once published), Election Day (3 Nov) and the November preliminary (mid-November); media refresh weekly.</w:t>
      </w:r>
    </w:p>
    <w:p>
      <w:pPr>
        <w:jc w:val="both"/>
      </w:pPr>
      <w:r>
        <w:rPr>
          <w:b/>
          <w:i w:val="0"/>
        </w:rPr>
        <w:t>Partisanship.</w:t>
      </w:r>
      <w:r>
        <w:rPr>
          <w:b w:val="0"/>
          <w:i w:val="0"/>
        </w:rPr>
        <w:t xml:space="preserve"> Michigan documents that the party in the White House is more optimistic, that independents track the national index, and that party sentiment co-moves (r ≈ 0.85) between transitions. In May 2026 Democrats read 32.8, independents 40.6, Republicans 84.6. The self-identified Republican share fell below its historical 23–29% range after the 2025 transition (not because of web interviewing); a 5-point fall mechanically lowers the headline by ≈2.4 points. Affiliation is therefore both a moderator and a confounder: it shapes which outlets people consume </w:t>
      </w:r>
      <w:r>
        <w:rPr>
          <w:b w:val="0"/>
          <w:i/>
        </w:rPr>
        <w:t>and</w:t>
      </w:r>
      <w:r>
        <w:rPr>
          <w:b w:val="0"/>
          <w:i w:val="0"/>
        </w:rPr>
        <w:t xml:space="preserve"> how they rate the economy. </w:t>
      </w:r>
      <w:r>
        <w:rPr>
          <w:b/>
          <w:i w:val="0"/>
        </w:rPr>
        <w:t>Election proximity:</w:t>
      </w:r>
      <w:r>
        <w:rPr>
          <w:b w:val="0"/>
          <w:i w:val="0"/>
        </w:rPr>
        <w:t xml:space="preserve"> we do not attribute 2026 movements to the campaign; the May trough coincided with tariff-driven price increases and inflation re-acceleration, and the gap was already −30 in 2025.</w:t>
      </w:r>
    </w:p>
    <w:p>
      <w:pPr>
        <w:jc w:val="both"/>
      </w:pPr>
      <w:r>
        <w:rPr>
          <w:b/>
          <w:i w:val="0"/>
        </w:rPr>
        <w:t>Survey method.</w:t>
      </w:r>
      <w:r>
        <w:rPr>
          <w:b w:val="0"/>
          <w:i w:val="0"/>
        </w:rPr>
        <w:t xml:space="preserve"> Michigan's 2024 move to web interviewing lowered measured levels (−6.6 by Michigan; −8.9 by an outside estimate) because interviewers elicit more favourable answers. We apply it as an external offset rather than estimating it from the gap period. Michigan's parallel web series shows May 2026 (44.8) is still below the June-2022 trough (web 46.3), so the 2026 low is not a mode artefact.</w:t>
      </w:r>
    </w:p>
    <w:p>
      <w:pPr>
        <w:pStyle w:val="Heading1"/>
      </w:pPr>
      <w:r>
        <w:t>10. Practical implication for financial forecasting and risk management</w:t>
      </w:r>
    </w:p>
    <w:p>
      <w:pPr>
        <w:jc w:val="both"/>
      </w:pPr>
      <w:r>
        <w:rPr>
          <w:b w:val="0"/>
          <w:i w:val="0"/>
        </w:rPr>
        <w:t xml:space="preserve">Sentiment is widely used as a leading indicator of consumer spending and credit risk. We forecast next-six-month real PCE growth out of sample. In 2015–19, sentiment and its gap component both added information (Clark–West p = 0.03 and 0.01). In 2022–26 the relationship broke: adding raw sentiment </w:t>
      </w:r>
      <w:r>
        <w:rPr>
          <w:b w:val="0"/>
          <w:i/>
        </w:rPr>
        <w:t>raised</w:t>
      </w:r>
      <w:r>
        <w:rPr>
          <w:b w:val="0"/>
          <w:i w:val="0"/>
        </w:rPr>
        <w:t xml:space="preserve"> RMSE from 1.45 to 1.74 and the gap component to 1.92, while the fundamentals-consistent component lowered it to 1.21 (p &lt; 0.001). Real spending grew ~2.5% a year while sentiment sat near record lows. </w:t>
      </w:r>
      <w:r>
        <w:rPr>
          <w:b/>
          <w:i w:val="0"/>
        </w:rPr>
        <w:t>Implication:</w:t>
      </w:r>
      <w:r>
        <w:rPr>
          <w:b w:val="0"/>
          <w:i w:val="0"/>
        </w:rPr>
        <w:t xml:space="preserve"> decompose sentiment into a fundamentals-consistent part and a gap; use the first in spending, retail-credit and earnings models, and treat a large, persistent gap as a regime flag (measurement change, price-level grievance, partisanship) rather than a recession signal. Stress tests should not mechanically map a 40-point sentiment drop into a consumption shock.</w:t>
      </w:r>
    </w:p>
    <w:p>
      <w:pPr>
        <w:pStyle w:val="Heading1"/>
      </w:pPr>
      <w:r>
        <w:t>11. Limitations and research ethics</w:t>
      </w:r>
    </w:p>
    <w:p>
      <w:pPr>
        <w:pStyle w:val="ListBullet"/>
        <w:spacing w:after="40"/>
      </w:pPr>
      <w:r>
        <w:rPr>
          <w:b/>
          <w:i w:val="0"/>
        </w:rPr>
        <w:t>One annotator</w:t>
      </w:r>
      <w:r>
        <w:rPr>
          <w:b w:val="0"/>
          <w:i w:val="0"/>
        </w:rPr>
        <w:t>: 300 human labels but no inter-annotator agreement (test–retest instead); relevance coding is weak (Section 5.1). The AI coder also shows measurable sensitivity to party names and outlet labels (Table 7).</w:t>
      </w:r>
    </w:p>
    <w:p>
      <w:pPr>
        <w:pStyle w:val="ListBullet"/>
        <w:spacing w:after="40"/>
      </w:pPr>
      <w:r>
        <w:rPr>
          <w:b/>
          <w:i w:val="0"/>
        </w:rPr>
        <w:t>Corpus selection</w:t>
      </w:r>
      <w:r>
        <w:rPr>
          <w:b w:val="0"/>
          <w:i w:val="0"/>
        </w:rPr>
        <w:t>: Google News ranking, HN's unrepresentative audience, Mastodon's short window and bot share; no Reddit/X/Bluesky; headlines not full text.</w:t>
      </w:r>
    </w:p>
    <w:p>
      <w:pPr>
        <w:pStyle w:val="ListBullet"/>
        <w:spacing w:after="40"/>
      </w:pPr>
      <w:r>
        <w:rPr>
          <w:b/>
          <w:i w:val="0"/>
        </w:rPr>
        <w:t>No exposure data</w:t>
      </w:r>
      <w:r>
        <w:rPr>
          <w:b w:val="0"/>
          <w:i w:val="0"/>
        </w:rPr>
        <w:t>: supply and engagement are not exposure; Michigan recall is endogenous to mood.</w:t>
      </w:r>
    </w:p>
    <w:p>
      <w:pPr>
        <w:pStyle w:val="ListBullet"/>
        <w:spacing w:after="40"/>
      </w:pPr>
      <w:r>
        <w:rPr>
          <w:b/>
          <w:i w:val="0"/>
        </w:rPr>
        <w:t>Revisions</w:t>
      </w:r>
      <w:r>
        <w:rPr>
          <w:b w:val="0"/>
          <w:i w:val="0"/>
        </w:rPr>
        <w:t>: GDP is real-time; U-3/PCE use latest vintages with publication lags (revisions to these are small — see the robustness paragraph in Section 2); spending target is current-vintage.</w:t>
      </w:r>
    </w:p>
    <w:p>
      <w:pPr>
        <w:pStyle w:val="ListBullet"/>
        <w:spacing w:after="40"/>
      </w:pPr>
      <w:r>
        <w:rPr>
          <w:b/>
          <w:i w:val="0"/>
        </w:rPr>
        <w:t>Short media sample</w:t>
      </w:r>
      <w:r>
        <w:rPr>
          <w:b w:val="0"/>
          <w:i w:val="0"/>
        </w:rPr>
        <w:t xml:space="preserve"> (2017–2026, ~115 months) limits power, and many specifications invite false positives — hence Holm/BH corrections and pre-specified models.</w:t>
      </w:r>
    </w:p>
    <w:p>
      <w:pPr>
        <w:pStyle w:val="ListBullet"/>
        <w:spacing w:after="40"/>
      </w:pPr>
      <w:r>
        <w:rPr>
          <w:b/>
          <w:i w:val="0"/>
        </w:rPr>
        <w:t>Associational controls</w:t>
      </w:r>
      <w:r>
        <w:rPr>
          <w:b w:val="0"/>
          <w:i w:val="0"/>
        </w:rPr>
        <w:t>: household-pressure coefficients are not causal; EPU is itself newspaper-derived.</w:t>
      </w:r>
    </w:p>
    <w:p>
      <w:pPr>
        <w:pStyle w:val="ListBullet"/>
        <w:spacing w:after="40"/>
      </w:pPr>
      <w:r>
        <w:rPr>
          <w:b/>
          <w:i w:val="0"/>
        </w:rPr>
        <w:t>Ethics</w:t>
      </w:r>
      <w:r>
        <w:rPr>
          <w:b w:val="0"/>
          <w:i w:val="0"/>
        </w:rPr>
        <w:t>: public data only; social authors pseudonymised by hash; no full text stored; the proposed experiment requires IRB approval, informed consent, truthful arms and debriefing.</w:t>
      </w:r>
    </w:p>
    <w:p>
      <w:pPr>
        <w:jc w:val="both"/>
      </w:pPr>
      <w:r>
        <w:rPr>
          <w:b/>
          <w:i w:val="0"/>
        </w:rPr>
        <w:t>References.</w:t>
      </w:r>
      <w:r>
        <w:rPr>
          <w:b w:val="0"/>
          <w:i w:val="0"/>
        </w:rPr>
        <w:t xml:space="preserve"> Bolhuis, Cramer, Schulz &amp; Summers (2024), 'The cost of money is part of the cost of living', NBER WP 32163 · Soroka (2006), 'Good news and bad news: asymmetric responses to economic information', J. Politics · Martin &amp; Yurukoglu (2017), 'Bias in cable news', AER · Gentzkow &amp; Shapiro (2010), 'What drives media slant?', Econometrica · Baker, Bloom &amp; Davis (2016), 'Measuring economic policy uncertainty', QJE · Clark &amp; West (2007), J. Econometrics · Driscoll &amp; Kraay (1998), REStat · Loughran &amp; McDonald (2011), J. Finance · Laurer et al. (2024) zero-shot NLI classifiers · Araci (2019) FinBERT · University of Michigan Surveys of Consumers: methodology transition (Apr 2024), partisan reports (Apr 2025, Jul 2026).</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26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1F4E8C"/>
      <w:sz w:val="27"/>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14171C"/>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4171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