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xml" Extension="xml"/>
  <Default ContentType="application/vnd.openxmlformats-package.relationships+xml" Extension="rels"/>
  <Default ContentType="image/jpeg" Extension="jpg"/>
  <Default ContentType="image/gif" Extension="gif"/>
  <Default ContentType="image/jpeg" Extension="jpeg"/>
  <Default ContentType="image/png" Extension="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 Id="rId3" Type="http://schemas.openxmlformats.org/officedocument/2006/relationships/metadata/core-properties" Target="docProps/core.xml"/>

</Relationships>

</file>

<file path=word/document.xml><?xml version="1.0" encoding="utf-8"?>
<ns0:document xmlns:ns0="http://schemas.openxmlformats.org/wordprocessingml/2006/main">
  <ns0:body>
    <ns0:p>
      <ns0:r>
        <ns0:drawing>
          <ns0:inline xmlns:ns0="http://schemas.openxmlformats.org/drawingml/2006/wordprocessingDrawing" distT="0" distR="0" distL="0" distB="0">
            <ns0:extent cy="927100" cx="2895600"/>
            <ns0:effectExtent r="0" b="0" l="25400" t="0"/>
            <ns0:docPr id="2" descr="" name="Picture 1"/>
            <ns0:cNvGraphicFramePr>
              <ns0:graphicFrameLocks xmlns:ns0="http://schemas.openxmlformats.org/drawingml/2006/main" noChangeAspect="1"/>
            </ns0:cNvGraphicFramePr>
            <ns0:graphic xmlns:ns0="http://schemas.openxmlformats.org/drawingml/2006/main">
              <ns0:graphicData uri="http://schemas.openxmlformats.org/drawingml/2006/picture">
                <ns0:pic xmlns:ns0="http://schemas.openxmlformats.org/drawingml/2006/picture">
                  <ns0:nvPicPr>
                    <ns0:cNvPr id="0" descr="" name="Picture 1"/>
                    <ns0:cNvPicPr>
                      <ns0:picLocks xmlns:ns0="http://schemas.openxmlformats.org/drawingml/2006/main" noChangeArrowheads="1" noChangeAspect="1"/>
                    </ns0:cNvPicPr>
                  </ns0:nvPicPr>
                  <ns0:blipFill>
                    <ns0:blip xmlns:ns0="http://schemas.openxmlformats.org/drawingml/2006/main" xmlns:ns1="http://schemas.openxmlformats.org/officeDocument/2006/relationships" ns1:embed="rId7"/>
                    <ns0:srcRect xmlns:ns0="http://schemas.openxmlformats.org/drawingml/2006/main"/>
                    <ns0:stretch xmlns:ns0="http://schemas.openxmlformats.org/drawingml/2006/main">
                      <ns0:fillRect/>
                    </ns0:stretch>
                  </ns0:blipFill>
                  <ns0:spPr bwMode="auto">
                    <ns0:xfrm xmlns:ns0="http://schemas.openxmlformats.org/drawingml/2006/main" flipV="false" rot="0" flipH="false">
                      <ns0:off y="0" x="0"/>
                      <ns0:ext cy="927100" cx="2895600"/>
                    </ns0:xfrm>
                    <ns0:prstGeom xmlns:ns0="http://schemas.openxmlformats.org/drawingml/2006/main" prst="rect">
                      <ns0:avLst/>
                    </ns0:prstGeom>
                  </ns0:spPr>
                </ns0:pic>
              </ns0:graphicData>
            </ns0:graphic>
          </ns0:inline>
        </ns0:drawing>
      </ns0:r>
    </ns0:p>
    <ns0:p>
      <ns0:pPr>
        <ns0:pStyle ns0:val="BodyText"/>
        <ns0:jc ns0:val="left"/>
      </ns0:pPr>
      <ns0:r>
        <ns0:rPr>
          <ns0:b/>
        </ns0:rPr>
        <ns0:t>División de Protección Social y Salud, SCL/SPH</ns0:t>
      </ns0:r>
    </ns0:p>
    <ns0:p>
      <ns0:pPr>
        <ns0:pStyle ns0:val="BodyText"/>
        <ns0:jc ns0:val="left"/>
      </ns0:pPr>
      <ns0:r>
        <ns0:rPr>
          <ns0:b/>
        </ns0:rPr>
        <ns0:t>Iniciativa Salud Mesoamérica 2015, SM2015</ns0:t>
      </ns0:r>
    </ns0:p>
    <ns0:p>
      <ns0:pPr>
        <ns0:pStyle ns0:val="BodyText"/>
        <ns0:jc ns0:val="left"/>
      </ns0:pPr>
      <ns0:r>
        <ns0:rPr>
          <ns0:b/>
        </ns0:rPr>
        <ns0:t>Conclusiones de la reunión realizada el: 17 de Febrero de 2014</ns0:t>
      </ns0:r>
    </ns0:p>
    <ns0:p>
      <ns0:pPr>
        <ns0:pStyle ns0:val="BodyText"/>
        <ns0:jc ns0:val="left"/>
      </ns0:pPr>
      <ns0:r>
        <ns0:rPr/>
        <ns0:t/>
      </ns0:r>
    </ns0:p>
    <ns0:p>
      <ns0:pPr>
        <ns0:pStyle ns0:val="BodyText"/>
        <ns0:jc ns0:val="left"/>
      </ns0:pPr>
      <ns0:r>
        <ns0:rPr>
          <ns0:b/>
        </ns0:rPr>
        <ns0:t>Operación: BL-G1001</ns0:t>
      </ns0:r>
    </ns0:p>
    <ns0:p>
      <ns0:pPr>
        <ns0:pStyle ns0:val="BodyText"/>
        <ns0:jc ns0:val="left"/>
      </ns0:pPr>
      <ns0:r>
        <ns0:rPr>
          <ns0:b/>
        </ns0:rPr>
        <ns0:t>Tipo de Reunión: Seguimiento Mensual de la Ejecución</ns0:t>
      </ns0:r>
    </ns0:p>
    <ns0:p>
      <ns0:pPr>
        <ns0:pStyle ns0:val="BodyText"/>
        <ns0:jc ns0:val="left"/>
      </ns0:pPr>
      <ns0:r>
        <ns0:rPr>
          <ns0:b/>
        </ns0:rPr>
        <ns0:t>Participantes: Rafael Soares, Ferdinando Regalia, Emma Iriarte</ns0:t>
      </ns0:r>
    </ns0:p>
    <ns0:p>
      <ns0:pPr>
        <ns0:pStyle ns0:val="Heading1"/>
      </ns0:pPr>
      <ns0:r>
        <ns0:t>AVANCE FISICO Y FINANCIERO</ns0:t>
      </ns0:r>
    </ns0:p>
    <ns0:tbl>
      <ns0:tblPr>
        <ns0:tblStyle ns0:val=""/>
        <ns0:tblW ns0:type="auto" ns0:w="0"/>
        <ns0:tblLook ns0:val="0400"/>
      </ns0:tblPr>
      <ns0:tblGrid>
        <ns0:gridCol ns0:w="2390"/>
        <ns0:gridCol ns0:w="2390"/>
      </ns0:tblGrid>
      <ns0:tr>
        <ns0:tc>
          <ns0:tcPr>
            <ns0:tcW ns0:type="auto" ns0:w="0"/>
          </ns0:tcPr>
          <ns0:p>
            <ns0:pPr>
              <ns0:pStyle ns0:val="BodyText"/>
              <ns0:jc ns0:val="left"/>
            </ns0:pPr>
            <ns0:r>
              <ns0:rPr/>
              <ns0:t>Cual es la fecha en que la información que está registrando fue actualizada</ns0:t>
            </ns0:r>
          </ns0:p>
        </ns0:tc>
        <ns0:tc>
          <ns0:tcPr>
            <ns0:tcW ns0:type="auto" ns0:w="0"/>
          </ns0:tcPr>
          <ns0:p>
            <ns0:pPr>
              <ns0:pStyle ns0:val="BodyText"/>
              <ns0:jc ns0:val="left"/>
            </ns0:pPr>
            <ns0:r>
              <ns0:rPr/>
              <ns0:t>97.0</ns0:t>
            </ns0:r>
          </ns0:p>
        </ns0:tc>
      </ns0:tr>
      <ns0:tr>
        <ns0:tc>
          <ns0:tcPr>
            <ns0:tcW ns0:type="auto" ns0:w="0"/>
          </ns0:tcPr>
          <ns0:p>
            <ns0:pPr>
              <ns0:pStyle ns0:val="BodyText"/>
              <ns0:jc ns0:val="left"/>
            </ns0:pPr>
            <ns0:r>
              <ns0:rPr/>
              <ns0:t>Avances Fiscos Planificados (Meta Ejecución)</ns0:t>
            </ns0:r>
          </ns0:p>
        </ns0:tc>
        <ns0:tc>
          <ns0:tcPr>
            <ns0:tcW ns0:type="auto" ns0:w="0"/>
          </ns0:tcPr>
          <ns0:p>
            <ns0:pPr>
              <ns0:pStyle ns0:val="BodyText"/>
              <ns0:jc ns0:val="left"/>
            </ns0:pPr>
            <ns0:r>
              <ns0:rPr/>
              <ns0:t>97.0</ns0:t>
            </ns0:r>
          </ns0:p>
        </ns0:tc>
      </ns0:tr>
      <ns0:tr>
        <ns0:tc>
          <ns0:tcPr>
            <ns0:tcW ns0:type="auto" ns0:w="0"/>
          </ns0:tcPr>
          <ns0:p>
            <ns0:pPr>
              <ns0:pStyle ns0:val="BodyText"/>
              <ns0:jc ns0:val="left"/>
            </ns0:pPr>
            <ns0:r>
              <ns0:rPr/>
              <ns0:t>Avances Físicos reales (Avance en la ejecución real segun el PEP)</ns0:t>
            </ns0:r>
          </ns0:p>
        </ns0:tc>
        <ns0:tc>
          <ns0:tcPr>
            <ns0:tcW ns0:type="auto" ns0:w="0"/>
          </ns0:tcPr>
          <ns0:p>
            <ns0:pPr>
              <ns0:pStyle ns0:val="BodyText"/>
              <ns0:jc ns0:val="left"/>
            </ns0:pPr>
            <ns0:r>
              <ns0:rPr/>
              <ns0:t>75.0</ns0:t>
            </ns0:r>
          </ns0:p>
        </ns0:tc>
      </ns0:tr>
      <ns0:tr>
        <ns0:tc>
          <ns0:tcPr>
            <ns0:tcW ns0:type="auto" ns0:w="0"/>
          </ns0:tcPr>
          <ns0:p>
            <ns0:pPr>
              <ns0:pStyle ns0:val="BodyText"/>
              <ns0:jc ns0:val="left"/>
            </ns0:pPr>
            <ns0:r>
              <ns0:rPr/>
              <ns0:t>Avances financieros planificados (Ejecución financiera planificados)</ns0:t>
            </ns0:r>
          </ns0:p>
        </ns0:tc>
        <ns0:tc>
          <ns0:tcPr>
            <ns0:tcW ns0:type="auto" ns0:w="0"/>
          </ns0:tcPr>
          <ns0:p>
            <ns0:pPr>
              <ns0:pStyle ns0:val="BodyText"/>
              <ns0:jc ns0:val="left"/>
            </ns0:pPr>
            <ns0:r>
              <ns0:rPr/>
              <ns0:t>89.0</ns0:t>
            </ns0:r>
          </ns0:p>
        </ns0:tc>
      </ns0:tr>
      <ns0:tr>
        <ns0:tc>
          <ns0:tcPr>
            <ns0:tcW ns0:type="auto" ns0:w="0"/>
          </ns0:tcPr>
          <ns0:p>
            <ns0:pPr>
              <ns0:pStyle ns0:val="BodyText"/>
              <ns0:jc ns0:val="left"/>
            </ns0:pPr>
            <ns0:r>
              <ns0:rPr/>
              <ns0:t>Avances financieros actuales (Ejecución financiera real según el estados financieros del ejecutor hasta la fecha (%))</ns0:t>
            </ns0:r>
          </ns0:p>
        </ns0:tc>
        <ns0:tc>
          <ns0:tcPr>
            <ns0:tcW ns0:type="auto" ns0:w="0"/>
          </ns0:tcPr>
          <ns0:p>
            <ns0:pPr>
              <ns0:pStyle ns0:val="BodyText"/>
              <ns0:jc ns0:val="left"/>
            </ns0:pPr>
            <ns0:r>
              <ns0:rPr/>
              <ns0:t>64.0</ns0:t>
            </ns0:r>
          </ns0:p>
        </ns0:tc>
      </ns0:tr>
      <ns0:tr>
        <ns0:tc>
          <ns0:tcPr>
            <ns0:tcW ns0:type="auto" ns0:w="0"/>
          </ns0:tcPr>
          <ns0:p>
            <ns0:pPr>
              <ns0:pStyle ns0:val="BodyText"/>
              <ns0:jc ns0:val="left"/>
            </ns0:pPr>
            <ns0:r>
              <ns0:rPr/>
              <ns0:t>Monto total desembolsado (BID a PAIS)</ns0:t>
            </ns0:r>
          </ns0:p>
        </ns0:tc>
        <ns0:tc>
          <ns0:tcPr>
            <ns0:tcW ns0:type="auto" ns0:w="0"/>
          </ns0:tcPr>
          <ns0:p>
            <ns0:pPr>
              <ns0:pStyle ns0:val="BodyText"/>
              <ns0:jc ns0:val="left"/>
            </ns0:pPr>
            <ns0:r>
              <ns0:rPr/>
              <ns0:t>500000.0</ns0:t>
            </ns0:r>
          </ns0:p>
        </ns0:tc>
      </ns0:tr>
    </ns0:tbl>
    <ns0:p>
      <ns0:pPr>
        <ns0:pStyle ns0:val="Heading1"/>
      </ns0:pPr>
      <ns0:r>
        <ns0:t>Gráficos del Tablero de Control</ns0:t>
      </ns0:r>
    </ns0:p>
    <ns0:p>
      <ns0:r>
        <ns0:drawing>
          <ns0:inline xmlns:ns0="http://schemas.openxmlformats.org/drawingml/2006/wordprocessingDrawing" distT="0" distR="0" distL="0" distB="0">
            <ns0:extent cy="2959100" cx="4445000"/>
            <ns0:effectExtent r="0" b="0" l="25400" t="0"/>
            <ns0:docPr id="2" descr="" name="Picture 1"/>
            <ns0:cNvGraphicFramePr>
              <ns0:graphicFrameLocks xmlns:ns0="http://schemas.openxmlformats.org/drawingml/2006/main" noChangeAspect="1"/>
            </ns0:cNvGraphicFramePr>
            <ns0:graphic xmlns:ns0="http://schemas.openxmlformats.org/drawingml/2006/main">
              <ns0:graphicData uri="http://schemas.openxmlformats.org/drawingml/2006/picture">
                <ns0:pic xmlns:ns0="http://schemas.openxmlformats.org/drawingml/2006/picture">
                  <ns0:nvPicPr>
                    <ns0:cNvPr id="0" descr="" name="Picture 1"/>
                    <ns0:cNvPicPr>
                      <ns0:picLocks xmlns:ns0="http://schemas.openxmlformats.org/drawingml/2006/main" noChangeArrowheads="1" noChangeAspect="1"/>
                    </ns0:cNvPicPr>
                  </ns0:nvPicPr>
                  <ns0:blipFill>
                    <ns0:blip xmlns:ns0="http://schemas.openxmlformats.org/drawingml/2006/main" xmlns:ns1="http://schemas.openxmlformats.org/officeDocument/2006/relationships" ns1:embed="rId8"/>
                    <ns0:srcRect xmlns:ns0="http://schemas.openxmlformats.org/drawingml/2006/main"/>
                    <ns0:stretch xmlns:ns0="http://schemas.openxmlformats.org/drawingml/2006/main">
                      <ns0:fillRect/>
                    </ns0:stretch>
                  </ns0:blipFill>
                  <ns0:spPr bwMode="auto">
                    <ns0:xfrm xmlns:ns0="http://schemas.openxmlformats.org/drawingml/2006/main" flipV="false" rot="0" flipH="false">
                      <ns0:off y="0" x="0"/>
                      <ns0:ext cy="2959100" cx="4445000"/>
                    </ns0:xfrm>
                    <ns0:prstGeom xmlns:ns0="http://schemas.openxmlformats.org/drawingml/2006/main" prst="rect">
                      <ns0:avLst/>
                    </ns0:prstGeom>
                  </ns0:spPr>
                </ns0:pic>
              </ns0:graphicData>
            </ns0:graphic>
          </ns0:inline>
        </ns0:drawing>
      </ns0:r>
    </ns0:p>
    <ns0:p>
      <ns0:pPr>
        <ns0:pStyle ns0:val="Heading1"/>
      </ns0:pPr>
      <ns0:r>
        <ns0:t>ALERTAS TEMPRANAS Y ESTADO DE LOS HITOS</ns0:t>
      </ns0:r>
    </ns0:p>
    <ns0:tbl>
      <ns0:tblPr>
        <ns0:tblStyle ns0:val=""/>
        <ns0:tblW ns0:type="auto" ns0:w="0"/>
        <ns0:tblLook ns0:val="0400"/>
      </ns0:tblPr>
      <ns0:tblGrid>
        <ns0:gridCol ns0:w="2390"/>
        <ns0:gridCol ns0:w="2390"/>
        <ns0:gridCol ns0:w="2390"/>
        <ns0:gridCol ns0:w="2390"/>
        <ns0:gridCol ns0:w="2390"/>
        <ns0:gridCol ns0:w="2390"/>
        <ns0:gridCol ns0:w="2390"/>
        <ns0:gridCol ns0:w="2390"/>
      </ns0:tblGrid>
      <ns0:tr>
        <ns0:tc>
          <ns0:tcPr>
            <ns0:tcW ns0:type="auto" ns0:w="0"/>
          </ns0:tcPr>
          <ns0:p>
            <ns0:pPr>
              <ns0:pStyle ns0:val="BodyText"/>
              <ns0:jc ns0:val="left"/>
            </ns0:pPr>
            <ns0:r>
              <ns0:rPr/>
              <ns0:t>Indicador de Pago</ns0:t>
            </ns0:r>
          </ns0:p>
        </ns0:tc>
        <ns0:tc>
          <ns0:tcPr>
            <ns0:tcW ns0:type="auto" ns0:w="0"/>
          </ns0:tcPr>
          <ns0:p>
            <ns0:pPr>
              <ns0:pStyle ns0:val="BodyText"/>
              <ns0:jc ns0:val="left"/>
            </ns0:pPr>
            <ns0:r>
              <ns0:rPr/>
              <ns0:t>Hito</ns0:t>
            </ns0:r>
          </ns0:p>
        </ns0:tc>
        <ns0:tc>
          <ns0:tcPr>
            <ns0:tcW ns0:type="auto" ns0:w="0"/>
          </ns0:tcPr>
          <ns0:p>
            <ns0:pPr>
              <ns0:pStyle ns0:val="BodyText"/>
              <ns0:jc ns0:val="left"/>
            </ns0:pPr>
            <ns0:r>
              <ns0:rPr/>
              <ns0:t>Trimestre</ns0:t>
            </ns0:r>
          </ns0:p>
        </ns0:tc>
        <ns0:tc>
          <ns0:tcPr>
            <ns0:tcW ns0:type="auto" ns0:w="0"/>
          </ns0:tcPr>
          <ns0:p>
            <ns0:pPr>
              <ns0:pStyle ns0:val="BodyText"/>
              <ns0:jc ns0:val="left"/>
            </ns0:pPr>
            <ns0:r>
              <ns0:rPr/>
              <ns0:t>Audiencia</ns0:t>
            </ns0:r>
          </ns0:p>
        </ns0:tc>
        <ns0:tc>
          <ns0:tcPr>
            <ns0:tcW ns0:type="auto" ns0:w="0"/>
          </ns0:tcPr>
          <ns0:p>
            <ns0:pPr>
              <ns0:pStyle ns0:val="BodyText"/>
              <ns0:jc ns0:val="left"/>
            </ns0:pPr>
            <ns0:r>
              <ns0:rPr/>
              <ns0:t>Estado Actual</ns0:t>
            </ns0:r>
          </ns0:p>
        </ns0:tc>
        <ns0:tc>
          <ns0:tcPr>
            <ns0:tcW ns0:type="auto" ns0:w="0"/>
          </ns0:tcPr>
          <ns0:p>
            <ns0:pPr>
              <ns0:pStyle ns0:val="BodyText"/>
              <ns0:jc ns0:val="left"/>
            </ns0:pPr>
            <ns0:r>
              <ns0:rPr/>
              <ns0:t>Alerta/Notas</ns0:t>
            </ns0:r>
          </ns0:p>
        </ns0:tc>
        <ns0:tc>
          <ns0:tcPr>
            <ns0:tcW ns0:type="auto" ns0:w="0"/>
          </ns0:tcPr>
          <ns0:p>
            <ns0:pPr>
              <ns0:pStyle ns0:val="BodyText"/>
              <ns0:jc ns0:val="left"/>
            </ns0:pPr>
            <ns0:r>
              <ns0:rPr/>
              <ns0:t>Recomendación</ns0:t>
            </ns0:r>
          </ns0:p>
        </ns0:tc>
        <ns0:tc>
          <ns0:tcPr>
            <ns0:tcW ns0:type="auto" ns0:w="0"/>
          </ns0:tcPr>
          <ns0:p>
            <ns0:pPr>
              <ns0:pStyle ns0:val="BodyText"/>
              <ns0:jc ns0:val="left"/>
            </ns0:pPr>
            <ns0:r>
              <ns0:rPr/>
              <ns0:t>Acuerdo</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Quality Innovation Fund Manual and Initial Assessment of the regions completed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Quality Innovation Fund Manual and Initial Assessment of the regions completed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20 Quality Innovation Fund Proposals from Health Facilities received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URC hired for TA for Quality of Care job aid tools for reproductive health</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Procurement process started for servers, desktops and printers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Procurement process started for additional family planning methods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Sexual and reproductive health (SRH) educational materials  shared with URC</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Norms for improving the quality of reproductive and child health and nutrition services and for  the establishment of a community platform of services adopted</ns0:t>
            </ns0:r>
          </ns0:p>
        </ns0:tc>
        <ns0:tc>
          <ns0:tcPr>
            <ns0:tcW ns0:type="auto" ns0:w="0"/>
          </ns0:tcPr>
          <ns0:p>
            <ns0:pPr>
              <ns0:pStyle ns0:val="BodyText"/>
              <ns0:jc ns0:val="left"/>
            </ns0:pPr>
            <ns0:r>
              <ns0:rPr/>
              <ns0:t>URC hired for Technical Assistance for norms for improving the quality of reproductive and child health and nutrition services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URC hired for technical assistance for the establishment of a community platform of services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Community Health Workers (CHWs) Monitoring materials approved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Completion of the Quality Innovation Fund Manual and Initial Assessment of the regions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Final List of emergency obstetric and neonatal care inputs to be purchased based on initial needs assessment completed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Final List of  pre- and post natal care inputs to be purchased based on Initial Assessment completed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20 Quality Innovation Fund Proposals reviewed and accepted by MOH Quality Innovation Fund Team</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Initial assessment of inputs for child health care completed, missing items purchased  and stock registry developed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Job Aid tools to improve Quality of Care are reviewed, developed, translated and distributed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Facilities with functioning BHIS Networking Capabilities, Belize Health Information System (BHIS) reports defined, and BHIS training completed (Mat. Ward and OT)</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Equipment permanent availability of all 5 types of modern family planning methods from UNFPA procured and Regional IUD Training conducted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Sexual and reproductive health (SRH) educational materials specifically targeted at adolescents materials reproduced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Norms for improving the quality of reproductive and child health and nutrition services and for  the establishment of a community platform of services adopted</ns0:t>
            </ns0:r>
          </ns0:p>
        </ns0:tc>
        <ns0:tc>
          <ns0:tcPr>
            <ns0:tcW ns0:type="auto" ns0:w="0"/>
          </ns0:tcPr>
          <ns0:p>
            <ns0:pPr>
              <ns0:pStyle ns0:val="BodyText"/>
              <ns0:jc ns0:val="left"/>
            </ns0:pPr>
            <ns0:r>
              <ns0:rPr/>
              <ns0:t>Nutrition, Community Platform and SRH Health norms reviewed by URC and approved by MOH</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Platform norms, Manual and job aid tools reviewed by URC and approved and printed by MOH. 157 Community Health Workers (CHWs) trained in basic competencies in the North and Western Regions</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3 Health Education and Community Participation Bureau (HECOPAB) officers trained and monitored by Regional Teams</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Final format for Patient Satisfaction surveys printed (with assistance from URC) and distributed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Inputs for providing emergency obstetric and neonatal care received at the facility level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Inputs for  providing pre- and post natal care received at the facility level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Centers notified if they received award from the Quality Innovation Fund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Stock Registry for child health care updated by health facilities</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Service providers trained on the use of Job aid tools,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Facility Belize Health Information System reports submitted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Tubal Ligation workshop conducted, manuals distributed and Quality Innovation Fund evaluated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Sexual and reproductive health (SRH) educational materials specifically targeted at adolescents distributed and monitored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Norms for improving the quality of reproductive and child health and nutrition services and for  the establishment of a community platform of services adopted</ns0:t>
            </ns0:r>
          </ns0:p>
        </ns0:tc>
        <ns0:tc>
          <ns0:tcPr>
            <ns0:tcW ns0:type="auto" ns0:w="0"/>
          </ns0:tcPr>
          <ns0:p>
            <ns0:pPr>
              <ns0:pStyle ns0:val="BodyText"/>
              <ns0:jc ns0:val="left"/>
            </ns0:pPr>
            <ns0:r>
              <ns0:rPr/>
              <ns0:t>Nutrition, Community Platform and SRH Health norms shared with IDB for revision</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Health Workers (CHWs) training by topic completed according to the manual</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Monitoring of District Health Education and Community Participation Bureau (HECOPAB) Officers that are currently monitoring the Community Health Workers (CHWs)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Health facilities with a mechanism in place for carrying out patient satisfaction surveys evaluated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Monitoring of inputs for providing emergency obstetric and neonatal care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Monitoring of inputs for providing pre- and post natal care Monitoring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Award and distribution of Quality Innovation Fund to eligible facilities</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Stock Registry for child health care updated by health facilities</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Monitoring of Quality of Care job aid tools for reproductive health  completed through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Facility Belize Health Information System reports submitted</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Monitoring of permanent availability of all 5 types of modern family planning methods monitoring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Monitoring of sexual and reproductive health (SRH) educational materials specifically targeted at adolescents monitoring completed through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Health Workers (CHWs) training by topic completed according to the manual</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Monitoring of District Health Education and Community Participation Bureau (HECOPAB) Officers that are currently monitoring the Community Health Workers (CHWs)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Monitoring of Health facilities with a mechanism in place for carrying out patient satisfaction surveys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Monitoring of inputs for providing emergency obstetric and neonatal care Monitoring completed for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Monitoring of inputs for providing pre- and post natal care Monitoring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Stock Registry for child health care updated by health facilities</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Quality of Care job aid tools for reproductive health monitoring completed for Quality Innovation Fund</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Facility BHIS reports submitted</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Monitoring of permanent availability of all 5 types of modern family planning methods monitoring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Monitoring of sexual and reproductive health (SRH) educational materials specifically targeted at adolescents monitoring completed through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Health Workers (CHWs) training by topic completed according to the manual</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Monitoring of District Health Education and Community Participation Bureau (HECOPAB) Officers that are currently monitoring the Community Health Workers (CHWs)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Monitoring of Health facilities with a mechanism in place for carrying out patient satisfaction surveys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bl>
  </ns0:body>
</ns0: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D0409C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B522538"/>
    <w:lvl w:ilvl="0">
      <w:start w:val="1"/>
      <w:numFmt w:val="decimal"/>
      <w:lvlText w:val="%1."/>
      <w:lvlJc w:val="left"/>
      <w:pPr>
        <w:tabs>
          <w:tab w:val="num" w:pos="1492"/>
        </w:tabs>
        <w:ind w:left="1492" w:hanging="360"/>
      </w:pPr>
    </w:lvl>
  </w:abstractNum>
  <w:abstractNum w:abstractNumId="2">
    <w:nsid w:val="FFFFFF7D"/>
    <w:multiLevelType w:val="singleLevel"/>
    <w:tmpl w:val="1BB4178C"/>
    <w:lvl w:ilvl="0">
      <w:start w:val="1"/>
      <w:numFmt w:val="decimal"/>
      <w:lvlText w:val="%1."/>
      <w:lvlJc w:val="left"/>
      <w:pPr>
        <w:tabs>
          <w:tab w:val="num" w:pos="1209"/>
        </w:tabs>
        <w:ind w:left="1209" w:hanging="360"/>
      </w:pPr>
    </w:lvl>
  </w:abstractNum>
  <w:abstractNum w:abstractNumId="3">
    <w:nsid w:val="FFFFFF7E"/>
    <w:multiLevelType w:val="singleLevel"/>
    <w:tmpl w:val="4720F336"/>
    <w:lvl w:ilvl="0">
      <w:start w:val="1"/>
      <w:numFmt w:val="decimal"/>
      <w:lvlText w:val="%1."/>
      <w:lvlJc w:val="left"/>
      <w:pPr>
        <w:tabs>
          <w:tab w:val="num" w:pos="926"/>
        </w:tabs>
        <w:ind w:left="926" w:hanging="360"/>
      </w:pPr>
    </w:lvl>
  </w:abstractNum>
  <w:abstractNum w:abstractNumId="4">
    <w:nsid w:val="FFFFFF7F"/>
    <w:multiLevelType w:val="singleLevel"/>
    <w:tmpl w:val="7DCEC040"/>
    <w:lvl w:ilvl="0">
      <w:start w:val="1"/>
      <w:numFmt w:val="decimal"/>
      <w:lvlText w:val="%1."/>
      <w:lvlJc w:val="left"/>
      <w:pPr>
        <w:tabs>
          <w:tab w:val="num" w:pos="643"/>
        </w:tabs>
        <w:ind w:left="643" w:hanging="360"/>
      </w:pPr>
    </w:lvl>
  </w:abstractNum>
  <w:abstractNum w:abstractNumId="5">
    <w:nsid w:val="FFFFFF80"/>
    <w:multiLevelType w:val="singleLevel"/>
    <w:tmpl w:val="A01021F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77AAC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D26C67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E200B7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7381406"/>
    <w:lvl w:ilvl="0">
      <w:start w:val="1"/>
      <w:numFmt w:val="decimal"/>
      <w:pStyle w:val="ListNumber"/>
      <w:lvlText w:val="%1."/>
      <w:lvlJc w:val="left"/>
      <w:pPr>
        <w:tabs>
          <w:tab w:val="num" w:pos="360"/>
        </w:tabs>
        <w:ind w:left="360" w:hanging="360"/>
      </w:pPr>
    </w:lvl>
  </w:abstractNum>
  <w:abstractNum w:abstractNumId="10">
    <w:nsid w:val="FFFFFF89"/>
    <w:multiLevelType w:val="singleLevel"/>
    <w:tmpl w:val="ECFC154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30585973"/>
    <w:multiLevelType w:val="multilevel"/>
    <w:tmpl w:val="A47E15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1"/>
  </w:num>
  <w:num w:numId="7">
    <w:abstractNumId w:val="0"/>
  </w:num>
  <w:num w:numId="8">
    <w:abstractNumId w:val="10"/>
  </w:num>
  <w:num w:numId="9">
    <w:abstractNumId w:val="8"/>
  </w:num>
  <w:num w:numId="10">
    <w:abstractNumId w:val="7"/>
  </w:num>
  <w:num w:numId="11">
    <w:abstractNumId w:val="6"/>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D33D5"/>
  </w:style>
  <w:style w:type="paragraph" w:styleId="Heading1">
    <w:name w:val="heading 1"/>
    <w:basedOn w:val="Normal"/>
    <w:next w:val="Normal"/>
    <w:link w:val="Heading1Char"/>
    <w:uiPriority w:val="9"/>
    <w:qFormat/>
    <w:rsid w:val="00E315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5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ColorfulGrid-Accent1">
    <w:name w:val="Colorful Grid Accent 1"/>
    <w:basedOn w:val="TableNormal"/>
    <w:uiPriority w:val="73"/>
    <w:rsid w:val="008D6863"/>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basedOn w:val="DefaultParagraphFont"/>
    <w:link w:val="Heading1"/>
    <w:uiPriority w:val="9"/>
    <w:rsid w:val="00E31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15A3"/>
    <w:rPr>
      <w:rFonts w:asciiTheme="majorHAnsi" w:eastAsiaTheme="majorEastAsia" w:hAnsiTheme="majorHAnsi" w:cstheme="majorBidi"/>
      <w:b/>
      <w:bCs/>
      <w:color w:val="4F81BD" w:themeColor="accent1"/>
      <w:sz w:val="26"/>
      <w:szCs w:val="26"/>
    </w:rPr>
  </w:style>
  <w:style w:type="paragraph" w:styleId="ListBullet">
    <w:name w:val="List Bullet"/>
    <w:basedOn w:val="Normal"/>
    <w:rsid w:val="00784D58"/>
    <w:pPr>
      <w:numPr>
        <w:numId w:val="8"/>
      </w:numPr>
      <w:contextualSpacing/>
    </w:pPr>
  </w:style>
  <w:style w:type="paragraph" w:styleId="ListNumber">
    <w:name w:val="List Number"/>
    <w:basedOn w:val="Normal"/>
    <w:rsid w:val="00784D58"/>
    <w:pPr>
      <w:numPr>
        <w:numId w:val="13"/>
      </w:numPr>
      <w:contextualSpacing/>
    </w:pPr>
  </w:style>
  <w:style w:type="paragraph" w:styleId="BodyText">
    <w:name w:val="Body Text"/>
    <w:basedOn w:val="Normal"/>
    <w:link w:val="BodyTextChar"/>
    <w:rsid w:val="00BC48D5"/>
    <w:pPr>
      <w:spacing w:after="120"/>
    </w:pPr>
  </w:style>
  <w:style w:type="character" w:customStyle="1" w:styleId="BodyTextChar">
    <w:name w:val="Body Text Char"/>
    <w:basedOn w:val="DefaultParagraphFont"/>
    <w:link w:val="BodyText"/>
    <w:rsid w:val="00BC48D5"/>
  </w:style>
</w:styles>
</file>

<file path=word/webSettings.xml><?xml version="1.0" encoding="utf-8"?>
<ns0:webSettings xmlns:ns0="http://schemas.openxmlformats.org/wordprocessingml/2006/main">
  <ns0:allowPNG/>
  <ns0:doNotSaveAsSingleFile/>
</ns0:webSettings>
</file>

<file path=word/_rels/document.xml.rels><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image" Id="rId7" Target="media/logo-bid.png"/>
  <Relationship Type="http://schemas.openxmlformats.org/officeDocument/2006/relationships/image" Id="rId8" Target="media/chart-beliz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ns0:coreProperties xmlns:ns0="http://schemas.openxmlformats.org/package/2006/metadata/core-properties">
  <dc:title xmlns:dc="http://purl.org/dc/elements/1.1/">Hitos e Avances - Belize</dc:title>
  <dc:subject xmlns:dc="http://purl.org/dc/elements/1.1/"/>
  <dc:creator xmlns:dc="http://purl.org/dc/elements/1.1/">SM2015 Dashboard</dc:creator>
  <ns0:keywords/>
  <ns0:lastModifiedBy>SM2015 Dashboard</ns0:lastModifiedBy>
  <ns0:revision>1</ns0:revision>
  <ns0:category>Examples</ns0:category>
  <dc:description xmlns:dc="http://purl.org/dc/elements/1.1/">Examples</dc:description>
  <dcterms:created xmlns:xsi="http://www.w3.org/2001/XMLSchema-instance" xmlns:dcterms="http://purl.org/dc/terms/" xsi:type="dcterms:W3CDTF">2014-02-17T11:56:52Z</dcterms:created>
  <dcterms:modified xmlns:xsi="http://www.w3.org/2001/XMLSchema-instance" xmlns:dcterms="http://purl.org/dc/terms/" xsi:type="dcterms:W3CDTF">2014-02-17T11:56:52Z</dcterms:modified>
</ns0:coreProperties>
</file>