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ContentType="image/jpeg" Extension="jpg"/>
  <Default ContentType="image/gif" Extension="gif"/>
  <Default ContentType="image/jpeg" Extension="jpeg"/>
  <Default ContentType="image/png" Extension="pn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drawing>
          <wp:inline distT="0" distB="0" distL="0" distR="0">
            <wp:extent cx="2895600" cy="927100"/>
            <wp:effectExtent l="25400" t="0" r="0" b="0"/>
            <wp:docPr id="1" name="Picture 0" descr="logo-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id.png"/>
                    <pic:cNvPicPr/>
                  </pic:nvPicPr>
                  <pic:blipFill>
                    <a:blip r:embed="rId1"/>
                    <a:stretch>
                      <a:fillRect/>
                    </a:stretch>
                  </pic:blipFill>
                  <pic:spPr>
                    <a:xfrm>
                      <a:off x="0" y="0"/>
                      <a:ext cx="2895600" cy="927100"/>
                    </a:xfrm>
                    <a:prstGeom prst="rect">
                      <a:avLst/>
                    </a:prstGeom>
                  </pic:spPr>
                </pic:pic>
              </a:graphicData>
            </a:graphic>
          </wp:inline>
        </w:drawing>
      </w:r>
    </w:p>
    <w:p>
      <w:pPr/>
      <w:r>
        <w:rPr>
          <w:b w:val="true"/>
        </w:rPr>
        <w:t xml:space="preserve">División de Protección Social y Salud, SCL/SPH</w:t>
      </w:r>
      <w:br/>
      <w:r>
        <w:rPr>
          <w:b w:val="true"/>
        </w:rPr>
        <w:t xml:space="preserve">Iniciativa Salud Mesoamérica 2015, SM2015</w:t>
      </w:r>
      <w:br/>
      <w:r>
        <w:rPr>
          <w:b w:val="true"/>
        </w:rPr>
        <w:t xml:space="preserve">Conclusiones de la reunión realizada el: 27 de Marzo de 2014</w:t>
      </w:r>
      <w:br/>
      <w:br/>
      <w:r>
        <w:rPr>
          <w:b w:val="true"/>
        </w:rPr>
        <w:t xml:space="preserve">Operación: </w:t>
      </w:r>
      <w:r>
        <w:rPr/>
        <w:t xml:space="preserve">CR-G1001</w:t>
      </w:r>
      <w:br/>
      <w:r>
        <w:rPr>
          <w:b w:val="true"/>
        </w:rPr>
        <w:t xml:space="preserve">Tipo de Reunión: </w:t>
      </w:r>
      <w:r>
        <w:rPr/>
        <w:t xml:space="preserve">Seguimiento Mensual de la Ejecución</w:t>
      </w:r>
      <w:br/>
      <w:r>
        <w:rPr>
          <w:b w:val="true"/>
        </w:rPr>
        <w:t xml:space="preserve">Participantes: </w:t>
      </w:r>
      <w:r>
        <w:rPr/>
        <w:t xml:space="preserve">Rafael Soares, Ferdinando Regalia, Emma Iriarte</w:t>
      </w:r>
    </w:p>
    <w:br/>
    <w:p>
      <w:pPr>
        <w:jc w:val="center"/>
      </w:pPr>
      <w:r>
        <w:rPr>
          <w:b w:val="true"/>
          <w:rFonts w:ascii="Times New Roman" w:hAnsi="Times New Roman"/>
          <w:sz w:val="24"/>
        </w:rPr>
        <w:t xml:space="preserve">AVANCE FISICO Y FINANCIERO</w:t>
      </w:r>
    </w:p>
    <w:tbl>
      <w:tblPr>
        <w:tblCellMar>
          <w:top w:w="60" w:type="dxa"/>
          <w:left w:w="60" w:type="dxa"/>
          <w:bottom w:w="60" w:type="dxa"/>
          <w:right w:w="60" w:type="dxa"/>
        </w:tblCellMar>
        <w:tblW w:type="pct" w:w="5000"/>
        <w:tblBorders>
          <w:top w:sz="8" w:color="000000" w:val="single" w:space="0"/>
          <w:right w:sz="8" w:color="000000" w:val="single" w:space="0"/>
          <w:bottom w:sz="8" w:color="000000" w:val="single" w:space="0"/>
          <w:left w:sz="8" w:color="000000" w:val="single" w:space="0"/>
        </w:tblBorders>
      </w:tblPr>
      <w:tr>
        <w:tc>
          <w:tcPr>
            <w:gridSpan w:val="1"/>
          </w:tcPr>
          <w:p>
            <w:r>
              <w:rPr>
                <w:b w:val="true"/>
                <w:rFonts w:ascii="Times New Roman" w:hAnsi="Times New Roman"/>
                <w:sz w:val="20"/>
                <w:b w:val="true"/>
                <w:rFonts w:ascii="Times New Roman" w:hAnsi="Times New Roman"/>
                <w:sz w:val="20"/>
              </w:rPr>
              <w:t xml:space="preserve">¿Cuándo fue la última vez que actualizó los datos?</w:t>
            </w:r>
          </w:p>
        </w:tc>
        <w:tc>
          <w:tcPr>
            <w:gridSpan w:val="1"/>
          </w:tcPr>
          <w:p>
            <w:r>
              <w:rPr>
                <w:b w:val="true"/>
                <w:rFonts w:ascii="Times New Roman" w:hAnsi="Times New Roman"/>
                <w:sz w:val="20"/>
                <w:b w:val="true"/>
                <w:rFonts w:ascii="Times New Roman" w:hAnsi="Times New Roman"/>
                <w:sz w:val="20"/>
              </w:rPr>
              <w:t xml:space="preserve">Avances Fisicos Planificados (Meta Ejecución)</w:t>
            </w:r>
          </w:p>
        </w:tc>
        <w:tc>
          <w:tcPr>
            <w:gridSpan w:val="1"/>
          </w:tcPr>
          <w:p>
            <w:r>
              <w:rPr>
                <w:b w:val="true"/>
                <w:rFonts w:ascii="Times New Roman" w:hAnsi="Times New Roman"/>
                <w:sz w:val="20"/>
                <w:b w:val="true"/>
                <w:rFonts w:ascii="Times New Roman" w:hAnsi="Times New Roman"/>
                <w:sz w:val="20"/>
              </w:rPr>
              <w:t xml:space="preserve">Avances Físicos Reales (Avance en la ejecución real)</w:t>
            </w:r>
          </w:p>
        </w:tc>
        <w:tc>
          <w:tcPr>
            <w:gridSpan w:val="1"/>
          </w:tcPr>
          <w:p>
            <w:r>
              <w:rPr>
                <w:b w:val="true"/>
                <w:rFonts w:ascii="Times New Roman" w:hAnsi="Times New Roman"/>
                <w:sz w:val="20"/>
                <w:b w:val="true"/>
                <w:rFonts w:ascii="Times New Roman" w:hAnsi="Times New Roman"/>
                <w:sz w:val="20"/>
              </w:rPr>
              <w:t xml:space="preserve">Avances Financieros Planificados (Ejecución financiera planificados)</w:t>
            </w:r>
          </w:p>
        </w:tc>
        <w:tc>
          <w:tcPr>
            <w:gridSpan w:val="1"/>
          </w:tcPr>
          <w:p>
            <w:r>
              <w:rPr>
                <w:b w:val="true"/>
                <w:rFonts w:ascii="Times New Roman" w:hAnsi="Times New Roman"/>
                <w:sz w:val="20"/>
                <w:b w:val="true"/>
                <w:rFonts w:ascii="Times New Roman" w:hAnsi="Times New Roman"/>
                <w:sz w:val="20"/>
              </w:rPr>
              <w:t xml:space="preserve">Avances Financieros Actuales (Ejecución financiera real)</w:t>
            </w:r>
          </w:p>
        </w:tc>
        <w:tc>
          <w:tcPr>
            <w:gridSpan w:val="1"/>
          </w:tcPr>
          <w:p>
            <w:r>
              <w:rPr>
                <w:b w:val="true"/>
                <w:rFonts w:ascii="Times New Roman" w:hAnsi="Times New Roman"/>
                <w:sz w:val="20"/>
                <w:b w:val="true"/>
                <w:rFonts w:ascii="Times New Roman" w:hAnsi="Times New Roman"/>
                <w:sz w:val="20"/>
              </w:rPr>
              <w:t xml:space="preserve">Monto Desembolsado</w:t>
            </w:r>
          </w:p>
        </w:tc>
      </w:tr>
      <w:tr>
        <w:tc>
          <w:tcPr>
            <w:gridSpan w:val="1"/>
          </w:tcPr>
          <w:p>
            <w:r>
              <w:rPr>
                <w:sz w:val="20"/>
                <w:sz w:val="20"/>
              </w:rPr>
              <w:t xml:space="preserve"/>
            </w:r>
          </w:p>
        </w:tc>
        <w:tc>
          <w:tcPr>
            <w:gridSpan w:val="1"/>
          </w:tcPr>
          <w:p>
            <w:r>
              <w:rPr>
                <w:sz w:val="20"/>
                <w:sz w:val="20"/>
              </w:rPr>
              <w:t xml:space="preserve">27.0%</w:t>
            </w:r>
          </w:p>
        </w:tc>
        <w:tc>
          <w:tcPr>
            <w:gridSpan w:val="1"/>
          </w:tcPr>
          <w:p>
            <w:r>
              <w:rPr>
                <w:sz w:val="20"/>
                <w:sz w:val="20"/>
              </w:rPr>
              <w:t xml:space="preserve">24.0%</w:t>
            </w:r>
          </w:p>
        </w:tc>
        <w:tc>
          <w:tcPr>
            <w:gridSpan w:val="1"/>
          </w:tcPr>
          <w:p>
            <w:r>
              <w:rPr>
                <w:sz w:val="20"/>
                <w:sz w:val="20"/>
              </w:rPr>
              <w:t xml:space="preserve">5.0%</w:t>
            </w:r>
          </w:p>
        </w:tc>
        <w:tc>
          <w:tcPr>
            <w:gridSpan w:val="1"/>
          </w:tcPr>
          <w:p>
            <w:r>
              <w:rPr>
                <w:sz w:val="20"/>
                <w:sz w:val="20"/>
              </w:rPr>
              <w:t xml:space="preserve">8.0%</w:t>
            </w:r>
          </w:p>
        </w:tc>
        <w:tc>
          <w:tcPr>
            <w:gridSpan w:val="1"/>
          </w:tcPr>
          <w:p>
            <w:r>
              <w:rPr>
                <w:sz w:val="20"/>
                <w:sz w:val="20"/>
              </w:rPr>
              <w:t xml:space="preserve">30000.0</w:t>
            </w:r>
          </w:p>
        </w:tc>
      </w:tr>
    </w:tbl>
    <w:br/>
    <w:p>
      <w:pPr>
        <w:jc w:val="center"/>
      </w:pPr>
      <w:r>
        <w:rPr>
          <w:b w:val="true"/>
          <w:rFonts w:ascii="Times New Roman" w:hAnsi="Times New Roman"/>
          <w:sz w:val="24"/>
        </w:rPr>
        <w:t xml:space="preserve">Gráficos del Tablero de Control</w:t>
      </w:r>
    </w:p>
    <w:p>
      <w:pPr>
        <w:jc w:val="center"/>
      </w:pPr>
      <w:r>
        <w:drawing>
          <wp:inline distT="0" distB="0" distL="0" distR="0">
            <wp:extent cx="4445000" cy="2959100"/>
            <wp:effectExtent l="25400" t="0" r="0" b="0"/>
            <wp:docPr id="1" name="Picture 0" descr="chart-costa-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costa-rica.png"/>
                    <pic:cNvPicPr/>
                  </pic:nvPicPr>
                  <pic:blipFill>
                    <a:blip r:embed="rId2"/>
                    <a:stretch>
                      <a:fillRect/>
                    </a:stretch>
                  </pic:blipFill>
                  <pic:spPr>
                    <a:xfrm>
                      <a:off x="0" y="0"/>
                      <a:ext cx="4445000" cy="2959100"/>
                    </a:xfrm>
                    <a:prstGeom prst="rect">
                      <a:avLst/>
                    </a:prstGeom>
                  </pic:spPr>
                </pic:pic>
              </a:graphicData>
            </a:graphic>
          </wp:inline>
        </w:drawing>
      </w:r>
    </w:p>
    <w:br/>
    <w:p>
      <w:pPr>
        <w:jc w:val="center"/>
      </w:pPr>
      <w:r>
        <w:rPr>
          <w:b w:val="true"/>
          <w:rFonts w:ascii="Times New Roman" w:hAnsi="Times New Roman"/>
          <w:sz w:val="24"/>
        </w:rPr>
        <w:t xml:space="preserve">ALERTAS TEMPRANAS Y ESTADO DE LOS HITOS</w:t>
      </w:r>
    </w:p>
    <w:tbl>
      <w:tblPr>
        <w:tblCellMar>
          <w:top w:w="60" w:type="dxa"/>
          <w:left w:w="60" w:type="dxa"/>
          <w:bottom w:w="60" w:type="dxa"/>
          <w:right w:w="60" w:type="dxa"/>
        </w:tblCellMar>
        <w:tblW w:type="pct" w:w="5000"/>
      </w:tblPr>
      <w:tr>
        <w:tc>
          <w:tcPr>
            <w:gridSpan w:val="1"/>
          </w:tcPr>
          <w:p>
            <w:pPr>
              <w:jc w:val="center"/>
            </w:pPr>
            <w:r>
              <w:rPr>
                <w:b w:val="true"/>
                <w:rFonts w:ascii="Times New Roman" w:hAnsi="Times New Roman"/>
                <w:sz w:val="20"/>
              </w:rPr>
              <w:t xml:space="preserve">Indicador de Pago</w:t>
            </w:r>
          </w:p>
        </w:tc>
        <w:tc>
          <w:tcPr>
            <w:gridSpan w:val="1"/>
          </w:tcPr>
          <w:p>
            <w:pPr>
              <w:jc w:val="center"/>
            </w:pPr>
            <w:r>
              <w:rPr>
                <w:b w:val="true"/>
                <w:rFonts w:ascii="Times New Roman" w:hAnsi="Times New Roman"/>
                <w:sz w:val="20"/>
              </w:rPr>
              <w:t xml:space="preserve">Hito</w:t>
            </w:r>
          </w:p>
        </w:tc>
        <w:tc>
          <w:tcPr>
            <w:gridSpan w:val="1"/>
          </w:tcPr>
          <w:p>
            <w:pPr>
              <w:jc w:val="center"/>
            </w:pPr>
            <w:r>
              <w:rPr>
                <w:b w:val="true"/>
                <w:rFonts w:ascii="Times New Roman" w:hAnsi="Times New Roman"/>
                <w:sz w:val="20"/>
              </w:rPr>
              <w:t xml:space="preserve">Trimestre</w:t>
            </w:r>
          </w:p>
        </w:tc>
        <w:tc>
          <w:tcPr>
            <w:gridSpan w:val="1"/>
          </w:tcPr>
          <w:p>
            <w:pPr>
              <w:jc w:val="center"/>
            </w:pPr>
            <w:r>
              <w:rPr>
                <w:b w:val="true"/>
                <w:rFonts w:ascii="Times New Roman" w:hAnsi="Times New Roman"/>
                <w:sz w:val="20"/>
              </w:rPr>
              <w:t xml:space="preserve">Audiencia</w:t>
            </w:r>
          </w:p>
        </w:tc>
        <w:tc>
          <w:tcPr>
            <w:gridSpan w:val="1"/>
          </w:tcPr>
          <w:p>
            <w:pPr>
              <w:jc w:val="center"/>
            </w:pPr>
            <w:r>
              <w:rPr>
                <w:b w:val="true"/>
                <w:rFonts w:ascii="Times New Roman" w:hAnsi="Times New Roman"/>
                <w:sz w:val="20"/>
              </w:rPr>
              <w:t xml:space="preserve">Estado Actual</w:t>
            </w:r>
          </w:p>
        </w:tc>
        <w:tc>
          <w:tcPr>
            <w:gridSpan w:val="1"/>
          </w:tcPr>
          <w:p>
            <w:pPr>
              <w:jc w:val="center"/>
            </w:pPr>
            <w:r>
              <w:rPr>
                <w:b w:val="true"/>
                <w:rFonts w:ascii="Times New Roman" w:hAnsi="Times New Roman"/>
                <w:sz w:val="20"/>
              </w:rPr>
              <w:t xml:space="preserve">Alerta/Notas</w:t>
            </w:r>
          </w:p>
        </w:tc>
        <w:tc>
          <w:tcPr>
            <w:gridSpan w:val="1"/>
          </w:tcPr>
          <w:p>
            <w:pPr>
              <w:jc w:val="center"/>
            </w:pPr>
            <w:r>
              <w:rPr>
                <w:b w:val="true"/>
                <w:rFonts w:ascii="Times New Roman" w:hAnsi="Times New Roman"/>
                <w:sz w:val="20"/>
              </w:rPr>
              <w:t xml:space="preserve">Recomendación</w:t>
            </w:r>
          </w:p>
        </w:tc>
        <w:tc>
          <w:tcPr>
            <w:gridSpan w:val="1"/>
          </w:tcPr>
          <w:p>
            <w:pPr>
              <w:jc w:val="center"/>
            </w:pPr>
            <w:r>
              <w:rPr>
                <w:b w:val="true"/>
                <w:rFonts w:ascii="Times New Roman" w:hAnsi="Times New Roman"/>
                <w:sz w:val="20"/>
              </w:rPr>
              <w:t xml:space="preserve">Acuerdo</w:t>
            </w:r>
          </w:p>
        </w:tc>
      </w:tr>
      <w:tr>
        <w:tc>
          <w:tcPr>
            <w:gridSpan w:val="1"/>
          </w:tcPr>
          <w:p>
            <w:r>
              <w:rPr>
                <w:rFonts w:ascii="Times New Roman" w:hAnsi="Times New Roman"/>
                <w:sz w:val="20"/>
                <w:rFonts w:ascii="Times New Roman" w:hAnsi="Times New Roman"/>
                <w:sz w:val="20"/>
              </w:rPr>
              <w:t xml:space="preserve">n/a</w:t>
            </w:r>
          </w:p>
        </w:tc>
        <w:tc>
          <w:tcPr>
            <w:gridSpan w:val="1"/>
          </w:tcPr>
          <w:p>
            <w:r>
              <w:rPr>
                <w:rFonts w:ascii="Times New Roman" w:hAnsi="Times New Roman"/>
                <w:sz w:val="20"/>
                <w:rFonts w:ascii="Times New Roman" w:hAnsi="Times New Roman"/>
                <w:sz w:val="20"/>
              </w:rPr>
              <w:t xml:space="preserve">Suscripción de convenios/acuerdos interinstitucionales</w:t>
            </w:r>
          </w:p>
        </w:tc>
        <w:tc>
          <w:tcPr>
            <w:gridSpan w:val="1"/>
          </w:tcPr>
          <w:p>
            <w:r>
              <w:rPr>
                <w:rFonts w:ascii="Times New Roman" w:hAnsi="Times New Roman"/>
                <w:sz w:val="20"/>
                <w:rFonts w:ascii="Times New Roman" w:hAnsi="Times New Roman"/>
                <w:sz w:val="20"/>
              </w:rPr>
              <w:t xml:space="preserve">2013T2</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Las instituciones que deberán estar formalmente vinculadas mediante convenio para la ejecución y monitoreo conjunto de las acciones contempladas en el proyecto, han tomado más tiempo del previsto en definir los términos de su participación, validando a lo interno de cada una y en instancias de negociación intersectorial, las definiciones sobre prestaciones, modalidades de atención y arreglos de ejecución. Los acuerdos están plasmados en el Manual Operativo, técnico administrativo y jurídico de las instituciones  que son  la base a lo cual se elaborarán los textos de los convenios.   Sin embargo, hay acuerdos entre las autoridades de las instituciones de iniciar el proyecto mientras se tramitan los convenios.
Hay un convenio marco entre el PANI y el MS el cual se adaptara a las necesidades actuales.  Hay un borrador del convenio CCSS y el MS.</w:t>
            </w:r>
          </w:p>
        </w:tc>
        <w:tc>
          <w:tcPr>
            <w:gridSpan w:val="1"/>
          </w:tcPr>
          <w:p>
            <w:r>
              <w:rPr>
                <w:rFonts w:ascii="Times New Roman" w:hAnsi="Times New Roman"/>
                <w:sz w:val="20"/>
                <w:rFonts w:ascii="Times New Roman" w:hAnsi="Times New Roman"/>
                <w:sz w:val="20"/>
              </w:rPr>
              <w:t xml:space="preserve">Se cuenta con el borrador final del convenio con la CCSS y ha sido remitido a esa institución para su trámite correspondiente. Están en revisión los borradores de las otras instituciones. Se enviaran al Banco los 4 convenios interinstitucionales en cuanto estén firmados</w:t>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Sedes de EBAIS que cuentan con espacios físicos con condiciones de confidencialidad y privacidad en la atención a los y las adolescentes, de acuerdo al estándar mínimo definido en el Manual Operativo</w:t>
            </w:r>
          </w:p>
        </w:tc>
        <w:tc>
          <w:tcPr>
            <w:gridSpan w:val="1"/>
          </w:tcPr>
          <w:p>
            <w:r>
              <w:rPr>
                <w:rFonts w:ascii="Times New Roman" w:hAnsi="Times New Roman"/>
                <w:sz w:val="20"/>
                <w:rFonts w:ascii="Times New Roman" w:hAnsi="Times New Roman"/>
                <w:sz w:val="20"/>
              </w:rPr>
              <w:t xml:space="preserve">Adjudicacion diagnóstico para readecuación de EBAIS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En ejecución</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cuentan con atención programada para las personas adolescentes (horas designadas para adolescentes)</w:t>
            </w:r>
          </w:p>
        </w:tc>
        <w:tc>
          <w:tcPr>
            <w:gridSpan w:val="1"/>
          </w:tcPr>
          <w:p>
            <w:r>
              <w:rPr>
                <w:rFonts w:ascii="Times New Roman" w:hAnsi="Times New Roman"/>
                <w:sz w:val="20"/>
                <w:rFonts w:ascii="Times New Roman" w:hAnsi="Times New Roman"/>
                <w:sz w:val="20"/>
              </w:rPr>
              <w:t xml:space="preserve">Divulgación de los horarios diferenciados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Se ha comprobado la difusión está en 9  de 11 Áreas de Salud del proyecto</w:t>
            </w:r>
          </w:p>
        </w:tc>
        <w:tc>
          <w:tcPr>
            <w:gridSpan w:val="1"/>
          </w:tcPr>
          <w:p>
            <w:r>
              <w:rPr>
                <w:rFonts w:ascii="Times New Roman" w:hAnsi="Times New Roman"/>
                <w:sz w:val="20"/>
                <w:rFonts w:ascii="Times New Roman" w:hAnsi="Times New Roman"/>
                <w:sz w:val="20"/>
              </w:rPr>
              <w:t xml:space="preserve">Se ha solicitado a las UCLs un informe de la divulgación de horarios de los EBAIS</w:t>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con disponibilidad permanente de métodos modernos de planificación familiar de acuerdo con la norma (inyectables, condón ,  orales, DIU, según el caso)</w:t>
            </w:r>
          </w:p>
        </w:tc>
        <w:tc>
          <w:tcPr>
            <w:gridSpan w:val="1"/>
          </w:tcPr>
          <w:p>
            <w:r>
              <w:rPr>
                <w:rFonts w:ascii="Times New Roman" w:hAnsi="Times New Roman"/>
                <w:sz w:val="20"/>
                <w:rFonts w:ascii="Times New Roman" w:hAnsi="Times New Roman"/>
                <w:sz w:val="20"/>
              </w:rPr>
              <w:t xml:space="preserve">Diálogo interinstitucional para definir métodos anticonceptivos adecuados para las personas adolescentes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Se han definido los tres métodos a adquirir:
Mesigyna injectable mensual (50 mg norethisterone enanthato y 5 mg estradiol valerato)
Jadelle implante 75 mg of levonorgestrel
Mirena, DIU con levonorgestrel</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Funcionarios de los EBAIS  sensibilizados para brindar atención integral diferenciada amigable y de calidad a las personas adolescentes.</w:t>
            </w:r>
          </w:p>
        </w:tc>
        <w:tc>
          <w:tcPr>
            <w:gridSpan w:val="1"/>
          </w:tcPr>
          <w:p>
            <w:r>
              <w:rPr>
                <w:rFonts w:ascii="Times New Roman" w:hAnsi="Times New Roman"/>
                <w:sz w:val="20"/>
                <w:rFonts w:ascii="Times New Roman" w:hAnsi="Times New Roman"/>
                <w:sz w:val="20"/>
              </w:rPr>
              <w:t xml:space="preserve">Términos de referencia selección de firma para sensibilización a funcionarios en SSR</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Lista corta elaborada en proceso de licitación</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1.8.1.1</w:t>
            </w:r>
          </w:p>
        </w:tc>
      </w:tr>
      <w:tr>
        <w:tc>
          <w:tcPr>
            <w:gridSpan w:val="1"/>
          </w:tcPr>
          <w:p>
            <w:r>
              <w:rPr>
                <w:rFonts w:ascii="Times New Roman" w:hAnsi="Times New Roman"/>
                <w:sz w:val="20"/>
                <w:rFonts w:ascii="Times New Roman" w:hAnsi="Times New Roman"/>
                <w:sz w:val="20"/>
              </w:rPr>
              <w:t xml:space="preserve">EBAIS que cumplen con la normativa de consejería en SSR y cuentan con material educativo de apoyo necesario para consejería, educación y atención  diferenciada para adolescentes</w:t>
            </w:r>
          </w:p>
        </w:tc>
        <w:tc>
          <w:tcPr>
            <w:gridSpan w:val="1"/>
          </w:tcPr>
          <w:p>
            <w:r>
              <w:rPr>
                <w:rFonts w:ascii="Times New Roman" w:hAnsi="Times New Roman"/>
                <w:sz w:val="20"/>
                <w:rFonts w:ascii="Times New Roman" w:hAnsi="Times New Roman"/>
                <w:sz w:val="20"/>
              </w:rPr>
              <w:t xml:space="preserve">Adjudicacion consultoría para actualziar normas y protocolos adolescentes embarazadas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Es una actividad que está realizando la Empresa de Asistencia Técnica MSH.</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Unidades de Coordinación Locales intersectoriales (UCL) , conformadas e implementando planes locales según el Manual Operativo</w:t>
            </w:r>
          </w:p>
        </w:tc>
        <w:tc>
          <w:tcPr>
            <w:gridSpan w:val="1"/>
          </w:tcPr>
          <w:p>
            <w:r>
              <w:rPr>
                <w:rFonts w:ascii="Times New Roman" w:hAnsi="Times New Roman"/>
                <w:sz w:val="20"/>
                <w:rFonts w:ascii="Times New Roman" w:hAnsi="Times New Roman"/>
                <w:sz w:val="20"/>
              </w:rPr>
              <w:t xml:space="preserve">Términos de referencia selección consultora para asistencia técnica UCL`s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Publicada en el diario oficial la solicitud de expresiones de interés.
En proceso de licitación.</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disponen de registros y generan reportes de estadísticas sobre adolescentes para la UCL de acuerdo con lo dispuesto en el Manual Operativo del Programa</w:t>
            </w:r>
          </w:p>
        </w:tc>
        <w:tc>
          <w:tcPr>
            <w:gridSpan w:val="1"/>
          </w:tcPr>
          <w:p>
            <w:r>
              <w:rPr>
                <w:rFonts w:ascii="Times New Roman" w:hAnsi="Times New Roman"/>
                <w:sz w:val="20"/>
                <w:rFonts w:ascii="Times New Roman" w:hAnsi="Times New Roman"/>
                <w:sz w:val="20"/>
              </w:rPr>
              <w:t xml:space="preserve">Diagnóstico de necesidades de información</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Es una actividad que está realizando la Empresa de Asistencia Técnica MSH. Se presentó el diagnóstico situacional el miércoles 11/12/13 en videoconferencia con el BID.</w:t>
            </w:r>
          </w:p>
        </w:tc>
        <w:tc>
          <w:tcPr>
            <w:gridSpan w:val="1"/>
          </w:tcPr>
          <w:p>
            <w:r>
              <w:rPr>
                <w:rFonts w:ascii="Times New Roman" w:hAnsi="Times New Roman"/>
                <w:sz w:val="20"/>
                <w:rFonts w:ascii="Times New Roman" w:hAnsi="Times New Roman"/>
                <w:sz w:val="20"/>
              </w:rPr>
              <w:t xml:space="preserve">Es problema de planificación y se subestimo el tiempo de ejecución de las actividades</w:t>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cuentan con la normativa de atención integral de las personas adolescentes con enfoque intercultural y acorde al marco filosófico del proyecto de acuerdo al Manual Operativo</w:t>
            </w:r>
          </w:p>
        </w:tc>
        <w:tc>
          <w:tcPr>
            <w:gridSpan w:val="1"/>
          </w:tcPr>
          <w:p>
            <w:r>
              <w:rPr>
                <w:rFonts w:ascii="Times New Roman" w:hAnsi="Times New Roman"/>
                <w:sz w:val="20"/>
                <w:rFonts w:ascii="Times New Roman" w:hAnsi="Times New Roman"/>
                <w:sz w:val="20"/>
              </w:rPr>
              <w:t xml:space="preserve">Adjudicación consultoría para actualización normas y protocolos</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Es una actividad a realizar por la Empresa de Asistencia Técnica.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1.5.1.13</w:t>
            </w:r>
          </w:p>
        </w:tc>
      </w:tr>
      <w:tr>
        <w:tc>
          <w:tcPr>
            <w:gridSpan w:val="1"/>
          </w:tcPr>
          <w:p>
            <w:r>
              <w:rPr>
                <w:rFonts w:ascii="Times New Roman" w:hAnsi="Times New Roman"/>
                <w:sz w:val="20"/>
                <w:rFonts w:ascii="Times New Roman" w:hAnsi="Times New Roman"/>
                <w:sz w:val="20"/>
              </w:rPr>
              <w:t xml:space="preserve">EBAIS con disponibilidad permanente de métodos modernos de planificación familiar de acuerdo con la norma (inyectables, condón ,  orales, DIU, según el caso)</w:t>
            </w:r>
          </w:p>
        </w:tc>
        <w:tc>
          <w:tcPr>
            <w:gridSpan w:val="1"/>
          </w:tcPr>
          <w:p>
            <w:r>
              <w:rPr>
                <w:rFonts w:ascii="Times New Roman" w:hAnsi="Times New Roman"/>
                <w:sz w:val="20"/>
                <w:rFonts w:ascii="Times New Roman" w:hAnsi="Times New Roman"/>
                <w:sz w:val="20"/>
              </w:rPr>
              <w:t xml:space="preserve">Especificaciones técnicas sobre métodos anticonceptivos a adquirir</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Se tienen las especificaciones técnicas.  Se tiene el acuerdo para seguir adelante en la adquisición por parte de la Ministra de Salud</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Líderes comunitarios capacitados para hacer promoción de la salud, detectar casos de alto riesgo y acercar servicios de salud a las comunidades.</w:t>
            </w:r>
          </w:p>
        </w:tc>
        <w:tc>
          <w:tcPr>
            <w:gridSpan w:val="1"/>
          </w:tcPr>
          <w:p>
            <w:r>
              <w:rPr>
                <w:rFonts w:ascii="Times New Roman" w:hAnsi="Times New Roman"/>
                <w:sz w:val="20"/>
                <w:rFonts w:ascii="Times New Roman" w:hAnsi="Times New Roman"/>
                <w:sz w:val="20"/>
              </w:rPr>
              <w:t xml:space="preserve">términos de referencia formación de líderes y promotores comunitarios</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FF8888"/>
            <w:gridSpan w:val="1"/>
          </w:tcPr>
          <w:p>
            <w:r>
              <w:rPr>
                <w:rFonts w:ascii="Times New Roman" w:hAnsi="Times New Roman"/>
                <w:sz w:val="20"/>
                <w:rFonts w:ascii="Times New Roman" w:hAnsi="Times New Roman"/>
                <w:sz w:val="20"/>
              </w:rPr>
              <w:t xml:space="preserve">Retrasado</w:t>
            </w:r>
          </w:p>
        </w:tc>
        <w:tc>
          <w:tcPr>
            <w:gridSpan w:val="1"/>
          </w:tcPr>
          <w:p>
            <w:r>
              <w:rPr>
                <w:rFonts w:ascii="Times New Roman" w:hAnsi="Times New Roman"/>
                <w:sz w:val="20"/>
                <w:rFonts w:ascii="Times New Roman" w:hAnsi="Times New Roman"/>
                <w:sz w:val="20"/>
              </w:rPr>
              <w:t xml:space="preserve">Actividad reprogramada para enero 2014</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Unidades de Coordinación Locales intersectoriales (UCL) , conformadas e implementando planes locales según el Manual Operativo</w:t>
            </w:r>
          </w:p>
        </w:tc>
        <w:tc>
          <w:tcPr>
            <w:gridSpan w:val="1"/>
          </w:tcPr>
          <w:p>
            <w:r>
              <w:rPr>
                <w:rFonts w:ascii="Times New Roman" w:hAnsi="Times New Roman"/>
                <w:sz w:val="20"/>
                <w:rFonts w:ascii="Times New Roman" w:hAnsi="Times New Roman"/>
                <w:sz w:val="20"/>
              </w:rPr>
              <w:t xml:space="preserve">Adjudicación consultoría para asistencia técnica UCL`s</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Actividad reprogramada para febrero 2014</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disponen de registros y generan reportes de estadísticas sobre adolescentes para la UCL de acuerdo con lo dispuesto en el Manual Operativo del Programa</w:t>
            </w:r>
          </w:p>
        </w:tc>
        <w:tc>
          <w:tcPr>
            <w:gridSpan w:val="1"/>
          </w:tcPr>
          <w:p>
            <w:r>
              <w:rPr>
                <w:rFonts w:ascii="Times New Roman" w:hAnsi="Times New Roman"/>
                <w:sz w:val="20"/>
                <w:rFonts w:ascii="Times New Roman" w:hAnsi="Times New Roman"/>
                <w:sz w:val="20"/>
              </w:rPr>
              <w:t xml:space="preserve">Distribución y puesta en operación de los registros en EBAIS</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Actividad reprogramada para enero 2014</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Sedes de EBAIS que cuentan con espacios físicos con condiciones de confidencialidad y privacidad en la atención a los y las adolescentes, de acuerdo al estándar mínimo definido en el Manual Operativo</w:t>
            </w:r>
          </w:p>
        </w:tc>
        <w:tc>
          <w:tcPr>
            <w:gridSpan w:val="1"/>
          </w:tcPr>
          <w:p>
            <w:r>
              <w:rPr>
                <w:rFonts w:ascii="Times New Roman" w:hAnsi="Times New Roman"/>
                <w:sz w:val="20"/>
                <w:rFonts w:ascii="Times New Roman" w:hAnsi="Times New Roman"/>
                <w:sz w:val="20"/>
              </w:rPr>
              <w:t xml:space="preserve">Recepción diagnóstico para readecuación de EABIS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Primer producto recibido y pagado, la verificacion del numero de sedes se hara la semana del 13-17 de enero.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cuentan con la normativa de atención integral de las personas adolescentes con enfoque intercultural y acorde al marco filosófico del proyecto de acuerdo al Manual Operativo</w:t>
            </w:r>
          </w:p>
        </w:tc>
        <w:tc>
          <w:tcPr>
            <w:gridSpan w:val="1"/>
          </w:tcPr>
          <w:p>
            <w:r>
              <w:rPr>
                <w:rFonts w:ascii="Times New Roman" w:hAnsi="Times New Roman"/>
                <w:sz w:val="20"/>
                <w:rFonts w:ascii="Times New Roman" w:hAnsi="Times New Roman"/>
                <w:sz w:val="20"/>
              </w:rPr>
              <w:t xml:space="preserve">Revisión de normativas y protocolos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Es una actividad que está realizando la Empresa de Asistencia Técnica MSH.</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cumplen con la normativa de consejería en SSR y cuentan con material educativo de apoyo necesario para consejería, educación y atención  diferenciada para adolescentes</w:t>
            </w:r>
          </w:p>
        </w:tc>
        <w:tc>
          <w:tcPr>
            <w:gridSpan w:val="1"/>
          </w:tcPr>
          <w:p>
            <w:r>
              <w:rPr>
                <w:rFonts w:ascii="Times New Roman" w:hAnsi="Times New Roman"/>
                <w:sz w:val="20"/>
                <w:rFonts w:ascii="Times New Roman" w:hAnsi="Times New Roman"/>
                <w:sz w:val="20"/>
              </w:rPr>
              <w:t xml:space="preserve">Revisión de normativas y protocolos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Entregado el primer producto del contrato. En revision posterior a la presentacion a los grupos tecnicos del pais</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cumplen con la normativa de consejería en SSR y cuentan con material educativo de apoyo necesario para consejería, educación y atención  diferenciada para adolescentes</w:t>
            </w:r>
          </w:p>
        </w:tc>
        <w:tc>
          <w:tcPr>
            <w:gridSpan w:val="1"/>
          </w:tcPr>
          <w:p>
            <w:r>
              <w:rPr>
                <w:rFonts w:ascii="Times New Roman" w:hAnsi="Times New Roman"/>
                <w:sz w:val="20"/>
                <w:rFonts w:ascii="Times New Roman" w:hAnsi="Times New Roman"/>
                <w:sz w:val="20"/>
              </w:rPr>
              <w:t xml:space="preserve">Diseño de módulos educativos para consejería SSR</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FFFF"/>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Parte del contrato con la Firma de Asistencia Tecnica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cumplen con la normativa de consejería en SSR y cuentan con material educativo de apoyo necesario para consejería, educación y atención  diferenciada para adolescentes</w:t>
            </w:r>
          </w:p>
        </w:tc>
        <w:tc>
          <w:tcPr>
            <w:gridSpan w:val="1"/>
          </w:tcPr>
          <w:p>
            <w:r>
              <w:rPr>
                <w:rFonts w:ascii="Times New Roman" w:hAnsi="Times New Roman"/>
                <w:sz w:val="20"/>
                <w:rFonts w:ascii="Times New Roman" w:hAnsi="Times New Roman"/>
                <w:sz w:val="20"/>
              </w:rPr>
              <w:t xml:space="preserve">Capacitación en Consejería en SSR</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FFFF"/>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Depende del contrato con la Firma de Asistencia Tecnica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con disponibilidad permanente de métodos modernos de planificación familiar de acuerdo con la norma (inyectables, condón ,  orales, DIU, según el caso)</w:t>
            </w:r>
          </w:p>
        </w:tc>
        <w:tc>
          <w:tcPr>
            <w:gridSpan w:val="1"/>
          </w:tcPr>
          <w:p>
            <w:r>
              <w:rPr>
                <w:rFonts w:ascii="Times New Roman" w:hAnsi="Times New Roman"/>
                <w:sz w:val="20"/>
                <w:rFonts w:ascii="Times New Roman" w:hAnsi="Times New Roman"/>
                <w:sz w:val="20"/>
              </w:rPr>
              <w:t xml:space="preserve">Notificación a oferentes métodos anticonceptivos a adquirir</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FFFF"/>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Se ha identificado posible adquisicion por UNFPA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cuentan con los instrumentos para detección temprana de riesgos asociados al comportamiento reproductivo de la población adolescente</w:t>
            </w:r>
          </w:p>
        </w:tc>
        <w:tc>
          <w:tcPr>
            <w:gridSpan w:val="1"/>
          </w:tcPr>
          <w:p>
            <w:r>
              <w:rPr>
                <w:rFonts w:ascii="Times New Roman" w:hAnsi="Times New Roman"/>
                <w:sz w:val="20"/>
                <w:rFonts w:ascii="Times New Roman" w:hAnsi="Times New Roman"/>
                <w:sz w:val="20"/>
              </w:rPr>
              <w:t xml:space="preserve">Especificaciones técnicas impresión de diversas normas para consejería en SSR</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FFFF"/>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Depende del contrato con la Firma de Asistencia Tecnica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Líderes comunitarios capacitados para hacer promoción de la salud, detectar casos de alto riesgo y acercar servicios de salud a las comunidades.</w:t>
            </w:r>
          </w:p>
        </w:tc>
        <w:tc>
          <w:tcPr>
            <w:gridSpan w:val="1"/>
          </w:tcPr>
          <w:p>
            <w:r>
              <w:rPr>
                <w:rFonts w:ascii="Times New Roman" w:hAnsi="Times New Roman"/>
                <w:sz w:val="20"/>
                <w:rFonts w:ascii="Times New Roman" w:hAnsi="Times New Roman"/>
                <w:sz w:val="20"/>
              </w:rPr>
              <w:t xml:space="preserve">Adjudicación consultoría en formación de líderes y promotores comunitarios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8888"/>
            <w:gridSpan w:val="1"/>
          </w:tcPr>
          <w:p>
            <w:r>
              <w:rPr>
                <w:rFonts w:ascii="Times New Roman" w:hAnsi="Times New Roman"/>
                <w:sz w:val="20"/>
                <w:rFonts w:ascii="Times New Roman" w:hAnsi="Times New Roman"/>
                <w:sz w:val="20"/>
              </w:rPr>
              <w:t xml:space="preserve">Retrasado</w:t>
            </w:r>
          </w:p>
        </w:tc>
        <w:tc>
          <w:tcPr>
            <w:gridSpan w:val="1"/>
          </w:tcPr>
          <w:p>
            <w:r>
              <w:rPr>
                <w:rFonts w:ascii="Times New Roman" w:hAnsi="Times New Roman"/>
                <w:sz w:val="20"/>
                <w:rFonts w:ascii="Times New Roman" w:hAnsi="Times New Roman"/>
                <w:sz w:val="20"/>
              </w:rPr>
              <w:t xml:space="preserve">Se revisará en reunión de comisión técnica del 22 de enero. Pendiente solicitud de Materiales.</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Unidades de Coordinación Locales intersectoriales (UCL) , conformadas e implementando planes locales según el Manual Operativo</w:t>
            </w:r>
          </w:p>
        </w:tc>
        <w:tc>
          <w:tcPr>
            <w:gridSpan w:val="1"/>
          </w:tcPr>
          <w:p>
            <w:r>
              <w:rPr>
                <w:rFonts w:ascii="Times New Roman" w:hAnsi="Times New Roman"/>
                <w:sz w:val="20"/>
                <w:rFonts w:ascii="Times New Roman" w:hAnsi="Times New Roman"/>
                <w:sz w:val="20"/>
              </w:rPr>
              <w:t xml:space="preserve">Formulación de planes locales de UCL`s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Con apoyo de la consultora internacional Debora Solis. La invitacion a las empresas se hara 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bl>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54B22"/>
    <w:rsid w:val="00854B2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62"/>
  </w:style>
  <w:style w:type="paragraph" w:styleId="Heading1">
    <w:name w:val="heading 1"/>
    <w:basedOn w:val="Normal"/>
    <w:next w:val="Normal"/>
    <w:link w:val="Heading1Char"/>
    <w:uiPriority w:val="9"/>
    <w:qFormat/>
    <w:rsid w:val="000222C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22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222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222C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Relationships xmlns="http://schemas.openxmlformats.org/package/2006/relationships"><Relationship Id="rId1" Type="http://schemas.openxmlformats.org/officeDocument/2006/relationships/image" Target="media/logo-bid.png"/><Relationship Id="rId2" Type="http://schemas.openxmlformats.org/officeDocument/2006/relationships/image" Target="media/chart-costa-rica.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2014-03-27T06:04:12Z</dcterms:created>
  <dcterms:modified xsi:type="dcterms:W3CDTF">2014-03-27T06:04:12Z</dcterms:modified>
</cp:coreProperties>
</file>