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center"/>
      </w:pPr>
      <w:r>
        <w:rPr>
          <w:rFonts w:ascii="Arial" w:hAnsi="Arial"/>
          <w:b/>
          <w:color w:val="059669"/>
          <w:sz w:val="18"/>
        </w:rPr>
        <w:t>ATOMQUEST HACKATHON SUBMISSION</w:t>
      </w:r>
    </w:p>
    <w:p>
      <w:pPr>
        <w:spacing w:before="80" w:after="40" w:line="276" w:lineRule="auto"/>
        <w:jc w:val="center"/>
      </w:pPr>
      <w:r>
        <w:rPr>
          <w:rFonts w:ascii="Arial" w:hAnsi="Arial"/>
          <w:b/>
          <w:color w:val="0F172A"/>
          <w:sz w:val="68"/>
        </w:rPr>
        <w:t>NexusFlow</w:t>
      </w:r>
    </w:p>
    <w:p>
      <w:pPr>
        <w:spacing w:before="0" w:after="280" w:line="276" w:lineRule="auto"/>
        <w:jc w:val="center"/>
      </w:pPr>
      <w:r>
        <w:rPr>
          <w:rFonts w:ascii="Arial" w:hAnsi="Arial"/>
          <w:b w:val="0"/>
          <w:color w:val="334155"/>
          <w:sz w:val="26"/>
        </w:rPr>
        <w:t>Interactive enterprise goal canvas with role-based dashboards, approvals, quarterly tracking, audit logs, analytics, and database-backed persistence.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ECFDF5"/>
            <w:tcBorders>
              <w:top w:val="single" w:sz="8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64E3B"/>
                <w:sz w:val="36"/>
              </w:rPr>
              <w:t>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64748B"/>
                <w:sz w:val="15"/>
              </w:rPr>
              <w:t>ROLE JOURNEYS</w:t>
            </w:r>
          </w:p>
        </w:tc>
        <w:tc>
          <w:tcPr>
            <w:tcW w:type="dxa" w:w="249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64E3B"/>
                <w:sz w:val="36"/>
              </w:rPr>
              <w:t>100%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64748B"/>
                <w:sz w:val="15"/>
              </w:rPr>
              <w:t>WEIGHTAGE GUARD</w:t>
            </w:r>
          </w:p>
        </w:tc>
        <w:tc>
          <w:tcPr>
            <w:tcW w:type="dxa" w:w="2498"/>
            <w:shd w:fill="ECFDF5"/>
            <w:tcBorders>
              <w:top w:val="single" w:sz="8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64E3B"/>
                <w:sz w:val="36"/>
              </w:rPr>
              <w:t>Live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64748B"/>
                <w:sz w:val="15"/>
              </w:rPr>
              <w:t>HOSTED DEMO</w:t>
            </w:r>
          </w:p>
        </w:tc>
        <w:tc>
          <w:tcPr>
            <w:tcW w:type="dxa" w:w="249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64E3B"/>
                <w:sz w:val="36"/>
              </w:rPr>
              <w:t>CSV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64748B"/>
                <w:sz w:val="15"/>
              </w:rPr>
              <w:t>ADMIN EXPORT</w:t>
            </w:r>
          </w:p>
        </w:tc>
      </w:tr>
    </w:tbl>
    <w:p>
      <w:pPr>
        <w:spacing w:before="280" w:after="160" w:line="276" w:lineRule="auto"/>
      </w:pPr>
      <w:r>
        <w:rPr>
          <w:rFonts w:ascii="Arial" w:hAnsi="Arial"/>
          <w:b/>
          <w:color w:val="064E3B"/>
          <w:sz w:val="32"/>
        </w:rPr>
        <w:t>1. Live / Hosted Demo URL</w:t>
      </w:r>
    </w:p>
    <w:p>
      <w:pPr>
        <w:spacing w:before="0" w:after="40" w:line="276" w:lineRule="auto"/>
      </w:pPr>
      <w:r>
        <w:rPr>
          <w:rFonts w:ascii="Arial" w:hAnsi="Arial"/>
          <w:b/>
          <w:color w:val="0F172A"/>
          <w:sz w:val="22"/>
        </w:rPr>
        <w:t xml:space="preserve">Portal: </w:t>
      </w:r>
      <w:hyperlink r:id="rId9">
        <w:r>
          <w:rPr>
            <w:color w:val="2563EB"/>
            <w:u w:val="single"/>
          </w:rPr>
          <w:t>https://nexus-flow-atomberg.vercel.app/</w:t>
        </w:r>
      </w:hyperlink>
    </w:p>
    <w:p>
      <w:pPr>
        <w:spacing w:before="280" w:after="160" w:line="276" w:lineRule="auto"/>
      </w:pPr>
      <w:r>
        <w:rPr>
          <w:rFonts w:ascii="Arial" w:hAnsi="Arial"/>
          <w:b/>
          <w:color w:val="064E3B"/>
          <w:sz w:val="32"/>
        </w:rPr>
        <w:t>2. Source Code Repository</w:t>
      </w:r>
    </w:p>
    <w:p>
      <w:pPr>
        <w:spacing w:before="0" w:after="40" w:line="276" w:lineRule="auto"/>
      </w:pPr>
      <w:r>
        <w:rPr>
          <w:rFonts w:ascii="Arial" w:hAnsi="Arial"/>
          <w:b/>
          <w:color w:val="0F172A"/>
          <w:sz w:val="22"/>
        </w:rPr>
        <w:t xml:space="preserve">Repository: </w:t>
      </w:r>
      <w:hyperlink r:id="rId10">
        <w:r>
          <w:rPr>
            <w:color w:val="2563EB"/>
            <w:u w:val="single"/>
          </w:rPr>
          <w:t>https://github.com/SM33-07/NexusFlow</w:t>
        </w:r>
      </w:hyperlink>
    </w:p>
    <w:p>
      <w:pPr>
        <w:spacing w:before="280" w:after="160" w:line="276" w:lineRule="auto"/>
      </w:pPr>
      <w:r>
        <w:rPr>
          <w:rFonts w:ascii="Arial" w:hAnsi="Arial"/>
          <w:b/>
          <w:color w:val="064E3B"/>
          <w:sz w:val="32"/>
        </w:rPr>
        <w:t>3. Login Credentials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064E3B"/>
            <w:tcBorders>
              <w:top w:val="single" w:sz="8" w:space="0" w:color="065F46"/>
              <w:left w:val="single" w:sz="8" w:space="0" w:color="065F46"/>
              <w:bottom w:val="single" w:sz="8" w:space="0" w:color="065F46"/>
              <w:right w:val="single" w:sz="8" w:space="0" w:color="065F4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331"/>
            <w:shd w:fill="064E3B"/>
            <w:tcBorders>
              <w:top w:val="single" w:sz="8" w:space="0" w:color="065F46"/>
              <w:left w:val="single" w:sz="8" w:space="0" w:color="065F46"/>
              <w:bottom w:val="single" w:sz="8" w:space="0" w:color="065F46"/>
              <w:right w:val="single" w:sz="8" w:space="0" w:color="065F4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3331"/>
            <w:shd w:fill="064E3B"/>
            <w:tcBorders>
              <w:top w:val="single" w:sz="8" w:space="0" w:color="065F46"/>
              <w:left w:val="single" w:sz="8" w:space="0" w:color="065F46"/>
              <w:bottom w:val="single" w:sz="8" w:space="0" w:color="065F46"/>
              <w:right w:val="single" w:sz="8" w:space="0" w:color="065F4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3331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20"/>
              </w:rPr>
              <w:t>Employee</w:t>
            </w:r>
          </w:p>
        </w:tc>
        <w:tc>
          <w:tcPr>
            <w:tcW w:type="dxa" w:w="3331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20"/>
              </w:rPr>
              <w:t>employee@nexus.demo</w:t>
            </w:r>
          </w:p>
        </w:tc>
        <w:tc>
          <w:tcPr>
            <w:tcW w:type="dxa" w:w="3331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20"/>
              </w:rPr>
              <w:t>NexusEmp@2026</w:t>
            </w:r>
          </w:p>
        </w:tc>
      </w:tr>
      <w:tr>
        <w:tc>
          <w:tcPr>
            <w:tcW w:type="dxa" w:w="3331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20"/>
              </w:rPr>
              <w:t>Manager</w:t>
            </w:r>
          </w:p>
        </w:tc>
        <w:tc>
          <w:tcPr>
            <w:tcW w:type="dxa" w:w="3331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20"/>
              </w:rPr>
              <w:t>manager@nexus.demo</w:t>
            </w:r>
          </w:p>
        </w:tc>
        <w:tc>
          <w:tcPr>
            <w:tcW w:type="dxa" w:w="3331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20"/>
              </w:rPr>
              <w:t>NexusMgr@2026</w:t>
            </w:r>
          </w:p>
        </w:tc>
      </w:tr>
      <w:tr>
        <w:tc>
          <w:tcPr>
            <w:tcW w:type="dxa" w:w="3331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20"/>
              </w:rPr>
              <w:t>Admin / HR</w:t>
            </w:r>
          </w:p>
        </w:tc>
        <w:tc>
          <w:tcPr>
            <w:tcW w:type="dxa" w:w="3331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20"/>
              </w:rPr>
              <w:t>admin@nexus.demo</w:t>
            </w:r>
          </w:p>
        </w:tc>
        <w:tc>
          <w:tcPr>
            <w:tcW w:type="dxa" w:w="3331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F172A"/>
                <w:sz w:val="20"/>
              </w:rPr>
              <w:t>NexusAdmin@2026</w:t>
            </w:r>
          </w:p>
        </w:tc>
      </w:tr>
    </w:tbl>
    <w:p>
      <w:pPr>
        <w:spacing w:before="280" w:after="160" w:line="276" w:lineRule="auto"/>
      </w:pPr>
      <w:r>
        <w:rPr>
          <w:rFonts w:ascii="Arial" w:hAnsi="Arial"/>
          <w:b/>
          <w:color w:val="064E3B"/>
          <w:sz w:val="32"/>
        </w:rPr>
        <w:t>4. Suggested Demo Script</w:t>
      </w:r>
    </w:p>
    <w:p>
      <w:pPr>
        <w:spacing w:before="0" w:after="40" w:line="276" w:lineRule="auto"/>
      </w:pPr>
      <w:r>
        <w:rPr>
          <w:rFonts w:ascii="Arial" w:hAnsi="Arial"/>
          <w:b/>
          <w:color w:val="0F172A"/>
          <w:sz w:val="21"/>
        </w:rPr>
        <w:t xml:space="preserve">Employee journey: </w:t>
      </w:r>
      <w:r>
        <w:rPr>
          <w:rFonts w:ascii="Arial" w:hAnsi="Arial"/>
          <w:color w:val="475569"/>
          <w:sz w:val="21"/>
        </w:rPr>
        <w:t>Show the visual goal canvas, AI-assisted goal creation, 100% weightage validation, and quarterly actual logging.</w:t>
      </w:r>
    </w:p>
    <w:p>
      <w:pPr>
        <w:spacing w:before="0" w:after="40" w:line="276" w:lineRule="auto"/>
      </w:pPr>
      <w:r>
        <w:rPr>
          <w:rFonts w:ascii="Arial" w:hAnsi="Arial"/>
          <w:b/>
          <w:color w:val="0F172A"/>
          <w:sz w:val="21"/>
        </w:rPr>
        <w:t xml:space="preserve">Manager journey: </w:t>
      </w:r>
      <w:r>
        <w:rPr>
          <w:rFonts w:ascii="Arial" w:hAnsi="Arial"/>
          <w:color w:val="475569"/>
          <w:sz w:val="21"/>
        </w:rPr>
        <w:t>Review direct-report goals, approve or return goals, observe approval locks, log check-ins, and export CSV.</w:t>
      </w:r>
    </w:p>
    <w:p>
      <w:pPr>
        <w:spacing w:before="0" w:after="40" w:line="276" w:lineRule="auto"/>
      </w:pPr>
      <w:r>
        <w:rPr>
          <w:rFonts w:ascii="Arial" w:hAnsi="Arial"/>
          <w:b/>
          <w:color w:val="0F172A"/>
          <w:sz w:val="21"/>
        </w:rPr>
        <w:t xml:space="preserve">Admin / HR journey: </w:t>
      </w:r>
      <w:r>
        <w:rPr>
          <w:rFonts w:ascii="Arial" w:hAnsi="Arial"/>
          <w:color w:val="475569"/>
          <w:sz w:val="21"/>
        </w:rPr>
        <w:t>Open governance analytics, push shared KPIs, inspect audit and notification logs, and evaluate escalations.</w:t>
      </w:r>
    </w:p>
    <w:p>
      <w:pPr>
        <w:sectPr>
          <w:footerReference w:type="default" r:id="rId12"/>
          <w:pgSz w:w="12240" w:h="15840"/>
          <w:pgMar w:top="1080" w:right="1123" w:bottom="1080" w:left="1123" w:header="504" w:footer="504" w:gutter="0"/>
          <w:cols w:space="720"/>
          <w:docGrid w:linePitch="360"/>
        </w:sectPr>
      </w:pPr>
    </w:p>
    <w:p>
      <w:pPr>
        <w:spacing w:before="280" w:after="160" w:line="276" w:lineRule="auto"/>
      </w:pPr>
      <w:r>
        <w:rPr>
          <w:rFonts w:ascii="Arial" w:hAnsi="Arial"/>
          <w:b/>
          <w:color w:val="064E3B"/>
          <w:sz w:val="32"/>
        </w:rPr>
        <w:t>5. Architecture Diagram</w:t>
      </w:r>
    </w:p>
    <w:p>
      <w:pPr>
        <w:spacing w:before="0" w:after="200" w:line="276" w:lineRule="auto"/>
      </w:pPr>
      <w:r>
        <w:rPr>
          <w:rFonts w:ascii="Arial" w:hAnsi="Arial"/>
          <w:b w:val="0"/>
          <w:color w:val="475569"/>
          <w:sz w:val="21"/>
        </w:rPr>
        <w:t>System design: browser users, Next.js App Router/API routes, signed cookie auth, Supabase Postgres, optional OpenAI goal generation, and integration logs.</w:t>
      </w:r>
    </w:p>
    <w:p>
      <w:r>
        <w:drawing>
          <wp:inline xmlns:a="http://schemas.openxmlformats.org/drawingml/2006/main" xmlns:pic="http://schemas.openxmlformats.org/drawingml/2006/picture">
            <wp:extent cx="6720840" cy="3990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us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9904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792" w:bottom="792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NexusFlow | AtomQuest Hackathon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xus-flow-atomberg.vercel.app/" TargetMode="External"/><Relationship Id="rId10" Type="http://schemas.openxmlformats.org/officeDocument/2006/relationships/hyperlink" Target="https://github.com/SM33-07/NexusFlow" TargetMode="External"/><Relationship Id="rId11" Type="http://schemas.openxmlformats.org/officeDocument/2006/relationships/image" Target="media/image1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