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B255D" w14:textId="77777777" w:rsidR="00A76AC7" w:rsidRDefault="00A76AC7" w:rsidP="00A76AC7">
      <w:pPr>
        <w:jc w:val="center"/>
      </w:pPr>
      <w:r>
        <w:rPr>
          <w:b/>
          <w:sz w:val="52"/>
        </w:rPr>
        <w:t>Healthcare Operations Performance Analysis</w:t>
      </w:r>
    </w:p>
    <w:p w14:paraId="1CA531EF" w14:textId="77777777" w:rsidR="00A76AC7" w:rsidRDefault="00A76AC7" w:rsidP="00A76AC7">
      <w:pPr>
        <w:jc w:val="center"/>
      </w:pPr>
      <w:r>
        <w:rPr>
          <w:i/>
          <w:sz w:val="32"/>
        </w:rPr>
        <w:t>Generative AI Data Analyst Project</w:t>
      </w:r>
    </w:p>
    <w:p w14:paraId="08796CCD" w14:textId="77777777" w:rsidR="00A76AC7" w:rsidRDefault="00A76AC7" w:rsidP="00A76AC7"/>
    <w:p w14:paraId="354FB92F" w14:textId="77777777" w:rsidR="00A76AC7" w:rsidRDefault="00A76AC7" w:rsidP="00A76AC7">
      <w:pPr>
        <w:jc w:val="center"/>
      </w:pPr>
      <w:r>
        <w:t>Prepared by: Mohammad Alshehri</w:t>
      </w:r>
    </w:p>
    <w:p w14:paraId="4E800934" w14:textId="77777777" w:rsidR="00A76AC7" w:rsidRDefault="00A76AC7" w:rsidP="00A76AC7">
      <w:pPr>
        <w:jc w:val="center"/>
      </w:pPr>
      <w:r>
        <w:t>Program: Generative AI Data Analyst – Vanderbilt University</w:t>
      </w:r>
    </w:p>
    <w:p w14:paraId="20EDF486" w14:textId="77777777" w:rsidR="00A76AC7" w:rsidRDefault="00A76AC7" w:rsidP="00A76AC7">
      <w:pPr>
        <w:jc w:val="center"/>
      </w:pPr>
      <w:r>
        <w:t>Field: Healthcare Data Analytics &amp; AI</w:t>
      </w:r>
    </w:p>
    <w:p w14:paraId="63CA69FB" w14:textId="77777777" w:rsidR="00A76AC7" w:rsidRDefault="00A76AC7" w:rsidP="00A76AC7">
      <w:pPr>
        <w:jc w:val="center"/>
      </w:pPr>
      <w:r>
        <w:t>Date: 2026</w:t>
      </w:r>
    </w:p>
    <w:p w14:paraId="6750AFF4" w14:textId="77777777" w:rsidR="00A76AC7" w:rsidRDefault="00A76AC7" w:rsidP="00A76AC7">
      <w:r>
        <w:br/>
      </w:r>
      <w:r>
        <w:br/>
      </w:r>
    </w:p>
    <w:p w14:paraId="1D7B0174" w14:textId="77777777" w:rsidR="00A76AC7" w:rsidRDefault="00A76AC7" w:rsidP="00A76AC7">
      <w:pPr>
        <w:jc w:val="center"/>
      </w:pPr>
      <w:r>
        <w:rPr>
          <w:i/>
        </w:rPr>
        <w:t>Executive Analytics Portfolio Project</w:t>
      </w:r>
    </w:p>
    <w:p w14:paraId="31315EB5" w14:textId="77777777" w:rsidR="00A76AC7" w:rsidRDefault="00A76AC7">
      <w:pPr>
        <w:pStyle w:val="Heading1"/>
        <w:rPr>
          <w:rFonts w:asciiTheme="minorHAnsi" w:hAnsiTheme="minorHAnsi"/>
          <w:rtl/>
        </w:rPr>
      </w:pPr>
    </w:p>
    <w:p w14:paraId="0A448152" w14:textId="77777777" w:rsidR="00A76AC7" w:rsidRDefault="00A76AC7">
      <w:pPr>
        <w:pStyle w:val="Heading1"/>
        <w:rPr>
          <w:rFonts w:asciiTheme="minorHAnsi" w:hAnsiTheme="minorHAnsi"/>
        </w:rPr>
      </w:pPr>
    </w:p>
    <w:p w14:paraId="0AA8356A" w14:textId="77777777" w:rsidR="00A76AC7" w:rsidRDefault="00A76AC7">
      <w:pPr>
        <w:pStyle w:val="Heading1"/>
        <w:rPr>
          <w:rFonts w:asciiTheme="minorHAnsi" w:hAnsiTheme="minorHAnsi"/>
        </w:rPr>
      </w:pPr>
    </w:p>
    <w:p w14:paraId="4A0528CF" w14:textId="77777777" w:rsidR="00A76AC7" w:rsidRDefault="00A76AC7">
      <w:pPr>
        <w:pStyle w:val="Heading1"/>
        <w:rPr>
          <w:rFonts w:asciiTheme="minorHAnsi" w:hAnsiTheme="minorHAnsi"/>
        </w:rPr>
      </w:pPr>
    </w:p>
    <w:p w14:paraId="403CCCDC" w14:textId="77777777" w:rsidR="00A76AC7" w:rsidRDefault="00A76AC7">
      <w:pPr>
        <w:pStyle w:val="Heading1"/>
        <w:rPr>
          <w:rFonts w:asciiTheme="minorHAnsi" w:hAnsiTheme="minorHAnsi"/>
        </w:rPr>
      </w:pPr>
    </w:p>
    <w:p w14:paraId="4CABF4D7" w14:textId="77777777" w:rsidR="00A76AC7" w:rsidRDefault="00A76AC7">
      <w:pPr>
        <w:pStyle w:val="Heading1"/>
        <w:rPr>
          <w:rFonts w:asciiTheme="minorHAnsi" w:hAnsiTheme="minorHAnsi"/>
        </w:rPr>
      </w:pPr>
    </w:p>
    <w:p w14:paraId="5F703D3D" w14:textId="77777777" w:rsidR="00A76AC7" w:rsidRDefault="00A76AC7">
      <w:pPr>
        <w:pStyle w:val="Heading1"/>
        <w:rPr>
          <w:rFonts w:asciiTheme="minorHAnsi" w:hAnsiTheme="minorHAnsi"/>
        </w:rPr>
      </w:pPr>
    </w:p>
    <w:p w14:paraId="048B00D0" w14:textId="77777777" w:rsidR="00A76AC7" w:rsidRDefault="00A76AC7"/>
    <w:p w14:paraId="2FB3B7DB" w14:textId="77777777" w:rsidR="00A76AC7" w:rsidRDefault="00A76AC7"/>
    <w:p w14:paraId="23E93125" w14:textId="63AAEF85" w:rsidR="006578B4" w:rsidRPr="00A76AC7" w:rsidRDefault="00AB6D33">
      <w:pPr>
        <w:rPr>
          <w:b/>
          <w:bCs/>
          <w:sz w:val="32"/>
          <w:szCs w:val="32"/>
        </w:rPr>
      </w:pPr>
      <w:r w:rsidRPr="00A76AC7">
        <w:rPr>
          <w:b/>
          <w:bCs/>
          <w:sz w:val="32"/>
          <w:szCs w:val="32"/>
        </w:rPr>
        <w:lastRenderedPageBreak/>
        <w:t>Executive Report</w:t>
      </w:r>
    </w:p>
    <w:p w14:paraId="440F0B78" w14:textId="77777777" w:rsidR="006578B4" w:rsidRPr="008F66A7" w:rsidRDefault="00AB6D33">
      <w:pPr>
        <w:pStyle w:val="Heading2"/>
        <w:rPr>
          <w:rFonts w:asciiTheme="minorHAnsi" w:hAnsiTheme="minorHAnsi"/>
        </w:rPr>
      </w:pPr>
      <w:r w:rsidRPr="008F66A7">
        <w:rPr>
          <w:rFonts w:asciiTheme="minorHAnsi" w:hAnsiTheme="minorHAnsi"/>
        </w:rPr>
        <w:t>1. Project Overview</w:t>
      </w:r>
    </w:p>
    <w:p w14:paraId="1037C8D2" w14:textId="77777777" w:rsidR="006578B4" w:rsidRPr="008F66A7" w:rsidRDefault="00AB6D33">
      <w:r w:rsidRPr="008F66A7">
        <w:t>This project aims to analyze healthcare operational performance using data analytics techniques to identify efficiency patterns, operational bottlenecks, and potential improvement opportunities. The analysis focuses on patient flow metrics, including waiting time, length of stay (LOS), and referral delays across multiple clinical departments.</w:t>
      </w:r>
    </w:p>
    <w:p w14:paraId="471FEC0B" w14:textId="77777777" w:rsidR="006578B4" w:rsidRPr="008F66A7" w:rsidRDefault="006578B4"/>
    <w:p w14:paraId="2EAF2DFA" w14:textId="77777777" w:rsidR="006578B4" w:rsidRPr="008F66A7" w:rsidRDefault="00AB6D33">
      <w:r w:rsidRPr="008F66A7">
        <w:t>A synthetic dataset containing 5,000 patient visits was utilized to simulate real-world healthcare operations. Analytical tools included Microsoft Excel, pivot analysis, dashboard visualization, and AI-assisted insights generation to support decision-making.</w:t>
      </w:r>
    </w:p>
    <w:p w14:paraId="11838A58" w14:textId="77777777" w:rsidR="006578B4" w:rsidRPr="008F66A7" w:rsidRDefault="00AB6D33">
      <w:pPr>
        <w:pStyle w:val="Heading2"/>
        <w:rPr>
          <w:rFonts w:asciiTheme="minorHAnsi" w:hAnsiTheme="minorHAnsi"/>
        </w:rPr>
      </w:pPr>
      <w:r w:rsidRPr="008F66A7">
        <w:rPr>
          <w:rFonts w:asciiTheme="minorHAnsi" w:hAnsiTheme="minorHAnsi"/>
        </w:rPr>
        <w:t>2. Methodology</w:t>
      </w:r>
    </w:p>
    <w:p w14:paraId="7E5F001F" w14:textId="77777777" w:rsidR="006578B4" w:rsidRPr="008F66A7" w:rsidRDefault="00AB6D33">
      <w:r w:rsidRPr="008F66A7">
        <w:t>The project followed a structured analytical workflow:</w:t>
      </w:r>
    </w:p>
    <w:p w14:paraId="1D94A145" w14:textId="77777777" w:rsidR="006578B4" w:rsidRPr="008F66A7" w:rsidRDefault="00AB6D33">
      <w:r w:rsidRPr="008F66A7">
        <w:t>- Data cleaning and preparation using Excel formulas</w:t>
      </w:r>
    </w:p>
    <w:p w14:paraId="69FB9F38" w14:textId="77777777" w:rsidR="006578B4" w:rsidRPr="008F66A7" w:rsidRDefault="00AB6D33">
      <w:r w:rsidRPr="008F66A7">
        <w:t>- Creation of calculated performance indicators (KPIs)</w:t>
      </w:r>
    </w:p>
    <w:p w14:paraId="7518084C" w14:textId="77777777" w:rsidR="006578B4" w:rsidRPr="008F66A7" w:rsidRDefault="00AB6D33">
      <w:r w:rsidRPr="008F66A7">
        <w:t>- Department-level comparative analysis</w:t>
      </w:r>
    </w:p>
    <w:p w14:paraId="36034D76" w14:textId="77777777" w:rsidR="006578B4" w:rsidRPr="008F66A7" w:rsidRDefault="00AB6D33">
      <w:r w:rsidRPr="008F66A7">
        <w:t>- Monthly trend analysis across operational metrics</w:t>
      </w:r>
    </w:p>
    <w:p w14:paraId="37BF7977" w14:textId="77777777" w:rsidR="006578B4" w:rsidRPr="008F66A7" w:rsidRDefault="00AB6D33">
      <w:r w:rsidRPr="008F66A7">
        <w:t>- Visualization through an executive dashboard</w:t>
      </w:r>
    </w:p>
    <w:p w14:paraId="47A39CA7" w14:textId="77777777" w:rsidR="006578B4" w:rsidRPr="008F66A7" w:rsidRDefault="00AB6D33">
      <w:r w:rsidRPr="008F66A7">
        <w:t>- AI-supported interpretation of analytical findings</w:t>
      </w:r>
    </w:p>
    <w:p w14:paraId="6ABD8503" w14:textId="77777777" w:rsidR="006578B4" w:rsidRPr="008F66A7" w:rsidRDefault="006578B4"/>
    <w:p w14:paraId="03A4B5D6" w14:textId="77777777" w:rsidR="006578B4" w:rsidRPr="008F66A7" w:rsidRDefault="00AB6D33">
      <w:r w:rsidRPr="008F66A7">
        <w:t>Key performance indicators analyzed included:</w:t>
      </w:r>
    </w:p>
    <w:p w14:paraId="60E07BE0" w14:textId="77777777" w:rsidR="006578B4" w:rsidRPr="008F66A7" w:rsidRDefault="00AB6D33">
      <w:r w:rsidRPr="008F66A7">
        <w:t>- Average Waiting Time</w:t>
      </w:r>
    </w:p>
    <w:p w14:paraId="1EFD35DD" w14:textId="77777777" w:rsidR="006578B4" w:rsidRPr="008F66A7" w:rsidRDefault="00AB6D33">
      <w:r w:rsidRPr="008F66A7">
        <w:t>- Average Length of Stay (LOS)</w:t>
      </w:r>
    </w:p>
    <w:p w14:paraId="730831EE" w14:textId="77777777" w:rsidR="006578B4" w:rsidRPr="008F66A7" w:rsidRDefault="00AB6D33">
      <w:r w:rsidRPr="008F66A7">
        <w:t>- Total Patient Visits</w:t>
      </w:r>
    </w:p>
    <w:p w14:paraId="1C705EB7" w14:textId="77777777" w:rsidR="006578B4" w:rsidRPr="008F66A7" w:rsidRDefault="00AB6D33">
      <w:r w:rsidRPr="008F66A7">
        <w:t>- Average Referral Delay</w:t>
      </w:r>
    </w:p>
    <w:p w14:paraId="1DEE51A6" w14:textId="77777777" w:rsidR="006578B4" w:rsidRDefault="00AB6D33">
      <w:pPr>
        <w:pStyle w:val="Heading2"/>
        <w:rPr>
          <w:rFonts w:asciiTheme="minorHAnsi" w:hAnsiTheme="minorHAnsi" w:hint="cs"/>
          <w:rtl/>
        </w:rPr>
      </w:pPr>
      <w:r w:rsidRPr="008F66A7">
        <w:rPr>
          <w:rFonts w:asciiTheme="minorHAnsi" w:hAnsiTheme="minorHAnsi"/>
        </w:rPr>
        <w:lastRenderedPageBreak/>
        <w:t>3. Key Findings</w:t>
      </w:r>
    </w:p>
    <w:p w14:paraId="484ED9E3" w14:textId="6441ECE5" w:rsidR="008F66A7" w:rsidRDefault="003A639C" w:rsidP="008F66A7">
      <w:r>
        <w:rPr>
          <w:noProof/>
        </w:rPr>
        <w:drawing>
          <wp:inline distT="0" distB="0" distL="0" distR="0" wp14:anchorId="502A0A79" wp14:editId="25C94A97">
            <wp:extent cx="5486400" cy="2179320"/>
            <wp:effectExtent l="0" t="0" r="0" b="11430"/>
            <wp:docPr id="2118634295" name="Chart 1">
              <a:extLst xmlns:a="http://schemas.openxmlformats.org/drawingml/2006/main">
                <a:ext uri="{FF2B5EF4-FFF2-40B4-BE49-F238E27FC236}">
                  <a16:creationId xmlns:a16="http://schemas.microsoft.com/office/drawing/2014/main" id="{2F191443-69FB-402F-88E0-2935805E57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71808B8" w14:textId="7A079236" w:rsidR="00A76AC7" w:rsidRPr="00A76AC7" w:rsidRDefault="00A76AC7" w:rsidP="00A76AC7">
      <w:pPr>
        <w:jc w:val="center"/>
        <w:rPr>
          <w:i/>
          <w:iCs/>
        </w:rPr>
      </w:pPr>
      <w:r w:rsidRPr="00A76AC7">
        <w:rPr>
          <w:i/>
          <w:iCs/>
        </w:rPr>
        <w:t>Figure 1. Department Performance Comparison (Average Wait Time and Length of Stay)</w:t>
      </w:r>
    </w:p>
    <w:p w14:paraId="5ABF0580" w14:textId="77777777" w:rsidR="006578B4" w:rsidRPr="008F66A7" w:rsidRDefault="00AB6D33">
      <w:r w:rsidRPr="008F66A7">
        <w:t>Waiting Time Performance:</w:t>
      </w:r>
    </w:p>
    <w:p w14:paraId="6D42E22E" w14:textId="77777777" w:rsidR="006578B4" w:rsidRPr="008F66A7" w:rsidRDefault="00AB6D33">
      <w:r w:rsidRPr="008F66A7">
        <w:t>The overall average waiting time was approximately 40 minutes, with relatively small variations between departments. This suggests a balanced patient intake process without significant congestion in triage or registration workflows.</w:t>
      </w:r>
    </w:p>
    <w:p w14:paraId="39EBE104" w14:textId="77777777" w:rsidR="006578B4" w:rsidRPr="008F66A7" w:rsidRDefault="006578B4"/>
    <w:p w14:paraId="29243C48" w14:textId="77777777" w:rsidR="006578B4" w:rsidRPr="008F66A7" w:rsidRDefault="00AB6D33">
      <w:r w:rsidRPr="008F66A7">
        <w:t>Length of Stay (LOS):</w:t>
      </w:r>
    </w:p>
    <w:p w14:paraId="6E296A39" w14:textId="77777777" w:rsidR="006578B4" w:rsidRPr="008F66A7" w:rsidRDefault="00AB6D33">
      <w:r w:rsidRPr="008F66A7">
        <w:t>The average length of stay was approximately 181 minutes, significantly higher than waiting time. This indicates that the primary contributors to patient throughput delays occur during internal clinical processes rather than initial access points.</w:t>
      </w:r>
    </w:p>
    <w:p w14:paraId="45DD0544" w14:textId="77777777" w:rsidR="006578B4" w:rsidRPr="008F66A7" w:rsidRDefault="006578B4"/>
    <w:p w14:paraId="4B1FE595" w14:textId="77777777" w:rsidR="006578B4" w:rsidRPr="008F66A7" w:rsidRDefault="00AB6D33">
      <w:r w:rsidRPr="008F66A7">
        <w:t>Referral Delay Impact:</w:t>
      </w:r>
    </w:p>
    <w:p w14:paraId="21B763D7" w14:textId="77777777" w:rsidR="006578B4" w:rsidRPr="008F66A7" w:rsidRDefault="00AB6D33">
      <w:r w:rsidRPr="008F66A7">
        <w:t>The average referral delay was approximately 4.5 days, which may contribute to prolonged patient management cycles and operational inefficiencies. Delays in referral coordination can influence patient outcomes and resource utilization across departments.</w:t>
      </w:r>
    </w:p>
    <w:p w14:paraId="137DF95D" w14:textId="77777777" w:rsidR="006578B4" w:rsidRPr="008F66A7" w:rsidRDefault="006578B4"/>
    <w:p w14:paraId="62D4187C" w14:textId="77777777" w:rsidR="006578B4" w:rsidRPr="008F66A7" w:rsidRDefault="00AB6D33">
      <w:r w:rsidRPr="008F66A7">
        <w:t>Department Comparison:</w:t>
      </w:r>
    </w:p>
    <w:p w14:paraId="7DBC339F" w14:textId="77777777" w:rsidR="006578B4" w:rsidRPr="008F66A7" w:rsidRDefault="00AB6D33">
      <w:r w:rsidRPr="008F66A7">
        <w:t>Performance differences across departments were moderate, with no single department demonstrating extreme inefficiencies. This suggests that operational performance challenges are likely systemic rather than department-specific.</w:t>
      </w:r>
    </w:p>
    <w:p w14:paraId="38154E27" w14:textId="77777777" w:rsidR="006578B4" w:rsidRPr="008F66A7" w:rsidRDefault="006578B4"/>
    <w:p w14:paraId="2463FD85" w14:textId="77777777" w:rsidR="006578B4" w:rsidRPr="008F66A7" w:rsidRDefault="00AB6D33">
      <w:r w:rsidRPr="008F66A7">
        <w:lastRenderedPageBreak/>
        <w:t>Monthly Trends:</w:t>
      </w:r>
    </w:p>
    <w:p w14:paraId="2B019881" w14:textId="77777777" w:rsidR="006578B4" w:rsidRPr="008F66A7" w:rsidRDefault="00AB6D33">
      <w:r w:rsidRPr="008F66A7">
        <w:t>Monthly trend analysis showed moderate fluctuations in waiting time across the year, while LOS remained relatively stable. These patterns indicate consistent operational performance with minor seasonal variations rather than structural inefficiencies.</w:t>
      </w:r>
    </w:p>
    <w:p w14:paraId="774467C0" w14:textId="77777777" w:rsidR="006578B4" w:rsidRPr="008F66A7" w:rsidRDefault="00AB6D33">
      <w:pPr>
        <w:pStyle w:val="Heading2"/>
        <w:rPr>
          <w:rFonts w:asciiTheme="minorHAnsi" w:hAnsiTheme="minorHAnsi"/>
        </w:rPr>
      </w:pPr>
      <w:r w:rsidRPr="008F66A7">
        <w:rPr>
          <w:rFonts w:asciiTheme="minorHAnsi" w:hAnsiTheme="minorHAnsi"/>
        </w:rPr>
        <w:t>4. Recommendations</w:t>
      </w:r>
    </w:p>
    <w:p w14:paraId="164D1741" w14:textId="77777777" w:rsidR="006578B4" w:rsidRPr="008F66A7" w:rsidRDefault="00AB6D33">
      <w:r w:rsidRPr="008F66A7">
        <w:t>1. Optimize Internal Clinical Processes — Focus on reducing length of stay by improving diagnostic turnaround times and care coordination workflows.</w:t>
      </w:r>
    </w:p>
    <w:p w14:paraId="2681DEAC" w14:textId="77777777" w:rsidR="006578B4" w:rsidRPr="008F66A7" w:rsidRDefault="00AB6D33">
      <w:r w:rsidRPr="008F66A7">
        <w:t>2. Enhance Referral Management Systems — Implement structured referral tracking mechanisms to reduce delays and improve continuity of care.</w:t>
      </w:r>
    </w:p>
    <w:p w14:paraId="5F483FF4" w14:textId="77777777" w:rsidR="006578B4" w:rsidRPr="008F66A7" w:rsidRDefault="00AB6D33">
      <w:r w:rsidRPr="008F66A7">
        <w:t>3. Implement Continuous KPI Monitoring — Deploy real-time dashboards for operational monitoring to support proactive decision-making.</w:t>
      </w:r>
    </w:p>
    <w:p w14:paraId="71CA5AD0" w14:textId="77777777" w:rsidR="006578B4" w:rsidRPr="008F66A7" w:rsidRDefault="00AB6D33">
      <w:r w:rsidRPr="008F66A7">
        <w:t>4. Leverage AI for Predictive Planning — AI-driven analytics can be used to forecast patient demand, resource utilization, and potential bottlenecks.</w:t>
      </w:r>
    </w:p>
    <w:p w14:paraId="7B0AE255" w14:textId="77777777" w:rsidR="006578B4" w:rsidRPr="008F66A7" w:rsidRDefault="00AB6D33">
      <w:pPr>
        <w:pStyle w:val="Heading2"/>
        <w:rPr>
          <w:rFonts w:asciiTheme="minorHAnsi" w:hAnsiTheme="minorHAnsi"/>
        </w:rPr>
      </w:pPr>
      <w:r w:rsidRPr="008F66A7">
        <w:rPr>
          <w:rFonts w:asciiTheme="minorHAnsi" w:hAnsiTheme="minorHAnsi"/>
        </w:rPr>
        <w:t>5. Conclusion</w:t>
      </w:r>
    </w:p>
    <w:p w14:paraId="6B99D1FC" w14:textId="77777777" w:rsidR="006578B4" w:rsidRPr="008F66A7" w:rsidRDefault="00AB6D33">
      <w:r w:rsidRPr="008F66A7">
        <w:t>This project demonstrates how data analytics combined with AI-assisted interpretation can support healthcare operational decision-making. The findings highlight that while patient access processes appear efficient, opportunities for improvement exist within internal care workflows and referral coordination systems.</w:t>
      </w:r>
    </w:p>
    <w:p w14:paraId="07199B2C" w14:textId="77777777" w:rsidR="006578B4" w:rsidRPr="008F66A7" w:rsidRDefault="006578B4"/>
    <w:p w14:paraId="7C62ACBD" w14:textId="77777777" w:rsidR="006578B4" w:rsidRPr="008F66A7" w:rsidRDefault="00AB6D33">
      <w:r w:rsidRPr="008F66A7">
        <w:t>The developed dashboard provides a scalable framework that can be adapted to real healthcare environments to improve efficiency, resource allocation, and patient experience.</w:t>
      </w:r>
    </w:p>
    <w:sectPr w:rsidR="006578B4" w:rsidRPr="008F66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699279">
    <w:abstractNumId w:val="8"/>
  </w:num>
  <w:num w:numId="2" w16cid:durableId="325129005">
    <w:abstractNumId w:val="6"/>
  </w:num>
  <w:num w:numId="3" w16cid:durableId="1964530112">
    <w:abstractNumId w:val="5"/>
  </w:num>
  <w:num w:numId="4" w16cid:durableId="1292054306">
    <w:abstractNumId w:val="4"/>
  </w:num>
  <w:num w:numId="5" w16cid:durableId="475298878">
    <w:abstractNumId w:val="7"/>
  </w:num>
  <w:num w:numId="6" w16cid:durableId="370572883">
    <w:abstractNumId w:val="3"/>
  </w:num>
  <w:num w:numId="7" w16cid:durableId="943615403">
    <w:abstractNumId w:val="2"/>
  </w:num>
  <w:num w:numId="8" w16cid:durableId="1515414594">
    <w:abstractNumId w:val="1"/>
  </w:num>
  <w:num w:numId="9" w16cid:durableId="2025009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1A4"/>
    <w:rsid w:val="0015074B"/>
    <w:rsid w:val="0029639D"/>
    <w:rsid w:val="00326F90"/>
    <w:rsid w:val="003A639C"/>
    <w:rsid w:val="00521078"/>
    <w:rsid w:val="006578B4"/>
    <w:rsid w:val="008F66A7"/>
    <w:rsid w:val="00A76AC7"/>
    <w:rsid w:val="00AA1D8D"/>
    <w:rsid w:val="00B47730"/>
    <w:rsid w:val="00CB0664"/>
    <w:rsid w:val="00F773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6DCCC"/>
  <w14:defaultImageDpi w14:val="300"/>
  <w15:docId w15:val="{381C1D7A-3162-44CC-86F9-B8F038200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lshe\AppData\Roaming\Microsoft\Excel\healthcare_dashboard_template%20(version%201).xlsb"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[healthcare_dashboard_template (version 1).xlsx]Pivot-KPIs!PivotTable1</c:name>
    <c:fmtId val="-1"/>
  </c:pivotSource>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400" b="1" u="sng">
                <a:solidFill>
                  <a:schemeClr val="tx1"/>
                </a:solidFill>
              </a:rPr>
              <a:t>Healthcare Operations Dashboard</a:t>
            </a:r>
          </a:p>
        </c:rich>
      </c:tx>
      <c:layout>
        <c:manualLayout>
          <c:xMode val="edge"/>
          <c:yMode val="edge"/>
          <c:x val="0.23086122047244095"/>
          <c:y val="1.5735861456266961E-3"/>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
      </c:pivotFmt>
      <c:pivotFmt>
        <c:idx val="3"/>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6.2372701968431761E-2"/>
          <c:y val="0.20804486053416552"/>
          <c:w val="0.69864243212160604"/>
          <c:h val="0.59082742609929662"/>
        </c:manualLayout>
      </c:layout>
      <c:barChart>
        <c:barDir val="col"/>
        <c:grouping val="clustered"/>
        <c:varyColors val="0"/>
        <c:ser>
          <c:idx val="0"/>
          <c:order val="0"/>
          <c:tx>
            <c:strRef>
              <c:f>'Pivot-KPIs'!$C$3</c:f>
              <c:strCache>
                <c:ptCount val="1"/>
                <c:pt idx="0">
                  <c:v>متوسط wait_minutes</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'Pivot-KPIs'!$B$4:$B$10</c:f>
              <c:strCache>
                <c:ptCount val="6"/>
                <c:pt idx="0">
                  <c:v>ED</c:v>
                </c:pt>
                <c:pt idx="1">
                  <c:v>IM</c:v>
                </c:pt>
                <c:pt idx="2">
                  <c:v>OBGYN</c:v>
                </c:pt>
                <c:pt idx="3">
                  <c:v>OPD</c:v>
                </c:pt>
                <c:pt idx="4">
                  <c:v>PED</c:v>
                </c:pt>
                <c:pt idx="5">
                  <c:v>SURG</c:v>
                </c:pt>
              </c:strCache>
            </c:strRef>
          </c:cat>
          <c:val>
            <c:numRef>
              <c:f>'Pivot-KPIs'!$C$4:$C$10</c:f>
              <c:numCache>
                <c:formatCode>0.00</c:formatCode>
                <c:ptCount val="6"/>
                <c:pt idx="0">
                  <c:v>38.492361927144536</c:v>
                </c:pt>
                <c:pt idx="1">
                  <c:v>40.863468634686349</c:v>
                </c:pt>
                <c:pt idx="2">
                  <c:v>39.804483188044834</c:v>
                </c:pt>
                <c:pt idx="3">
                  <c:v>40.476014760147599</c:v>
                </c:pt>
                <c:pt idx="4">
                  <c:v>40.441543700340524</c:v>
                </c:pt>
                <c:pt idx="5">
                  <c:v>40.202622169249103</c:v>
                </c:pt>
              </c:numCache>
            </c:numRef>
          </c:val>
          <c:extLst>
            <c:ext xmlns:c16="http://schemas.microsoft.com/office/drawing/2014/chart" uri="{C3380CC4-5D6E-409C-BE32-E72D297353CC}">
              <c16:uniqueId val="{00000000-1DEC-466A-AF39-4E082270AEB7}"/>
            </c:ext>
          </c:extLst>
        </c:ser>
        <c:dLbls>
          <c:showLegendKey val="0"/>
          <c:showVal val="0"/>
          <c:showCatName val="0"/>
          <c:showSerName val="0"/>
          <c:showPercent val="0"/>
          <c:showBubbleSize val="0"/>
        </c:dLbls>
        <c:gapWidth val="100"/>
        <c:overlap val="-24"/>
        <c:axId val="709274367"/>
        <c:axId val="709274847"/>
      </c:barChart>
      <c:barChart>
        <c:barDir val="col"/>
        <c:grouping val="clustered"/>
        <c:varyColors val="0"/>
        <c:ser>
          <c:idx val="1"/>
          <c:order val="1"/>
          <c:tx>
            <c:strRef>
              <c:f>'Pivot-KPIs'!$D$3</c:f>
              <c:strCache>
                <c:ptCount val="1"/>
                <c:pt idx="0">
                  <c:v>متوسط los_minutes</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'Pivot-KPIs'!$B$4:$B$10</c:f>
              <c:strCache>
                <c:ptCount val="6"/>
                <c:pt idx="0">
                  <c:v>ED</c:v>
                </c:pt>
                <c:pt idx="1">
                  <c:v>IM</c:v>
                </c:pt>
                <c:pt idx="2">
                  <c:v>OBGYN</c:v>
                </c:pt>
                <c:pt idx="3">
                  <c:v>OPD</c:v>
                </c:pt>
                <c:pt idx="4">
                  <c:v>PED</c:v>
                </c:pt>
                <c:pt idx="5">
                  <c:v>SURG</c:v>
                </c:pt>
              </c:strCache>
            </c:strRef>
          </c:cat>
          <c:val>
            <c:numRef>
              <c:f>'Pivot-KPIs'!$D$4:$D$10</c:f>
              <c:numCache>
                <c:formatCode>0.00</c:formatCode>
                <c:ptCount val="6"/>
                <c:pt idx="0">
                  <c:v>184.72150411280845</c:v>
                </c:pt>
                <c:pt idx="1">
                  <c:v>181.15621156211563</c:v>
                </c:pt>
                <c:pt idx="2">
                  <c:v>177.99377334993773</c:v>
                </c:pt>
                <c:pt idx="3">
                  <c:v>180.4969249692497</c:v>
                </c:pt>
                <c:pt idx="4">
                  <c:v>181.03518728717367</c:v>
                </c:pt>
                <c:pt idx="5">
                  <c:v>180.98688915375448</c:v>
                </c:pt>
              </c:numCache>
            </c:numRef>
          </c:val>
          <c:extLst>
            <c:ext xmlns:c16="http://schemas.microsoft.com/office/drawing/2014/chart" uri="{C3380CC4-5D6E-409C-BE32-E72D297353CC}">
              <c16:uniqueId val="{00000001-1DEC-466A-AF39-4E082270AEB7}"/>
            </c:ext>
          </c:extLst>
        </c:ser>
        <c:dLbls>
          <c:showLegendKey val="0"/>
          <c:showVal val="0"/>
          <c:showCatName val="0"/>
          <c:showSerName val="0"/>
          <c:showPercent val="0"/>
          <c:showBubbleSize val="0"/>
        </c:dLbls>
        <c:gapWidth val="100"/>
        <c:overlap val="-24"/>
        <c:axId val="76987327"/>
        <c:axId val="76985407"/>
      </c:barChart>
      <c:catAx>
        <c:axId val="709274367"/>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9274847"/>
        <c:crosses val="autoZero"/>
        <c:auto val="1"/>
        <c:lblAlgn val="ctr"/>
        <c:lblOffset val="100"/>
        <c:noMultiLvlLbl val="0"/>
      </c:catAx>
      <c:valAx>
        <c:axId val="70927484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9274367"/>
        <c:crosses val="autoZero"/>
        <c:crossBetween val="between"/>
      </c:valAx>
      <c:valAx>
        <c:axId val="76985407"/>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987327"/>
        <c:crosses val="max"/>
        <c:crossBetween val="between"/>
      </c:valAx>
      <c:catAx>
        <c:axId val="76987327"/>
        <c:scaling>
          <c:orientation val="minMax"/>
        </c:scaling>
        <c:delete val="1"/>
        <c:axPos val="b"/>
        <c:numFmt formatCode="General" sourceLinked="1"/>
        <c:majorTickMark val="out"/>
        <c:minorTickMark val="none"/>
        <c:tickLblPos val="nextTo"/>
        <c:crossAx val="76985407"/>
        <c:crosses val="autoZero"/>
        <c:auto val="1"/>
        <c:lblAlgn val="ctr"/>
        <c:lblOffset val="100"/>
        <c:noMultiLvlLbl val="0"/>
      </c:catAx>
      <c:spPr>
        <a:noFill/>
        <a:ln>
          <a:noFill/>
        </a:ln>
        <a:effectLst/>
      </c:spPr>
    </c:plotArea>
    <c:legend>
      <c:legendPos val="r"/>
      <c:layout>
        <c:manualLayout>
          <c:xMode val="edge"/>
          <c:yMode val="edge"/>
          <c:x val="0.78665518372703414"/>
          <c:y val="0.83370087917332014"/>
          <c:w val="0.20640037182852145"/>
          <c:h val="0.1625222546482389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5301</TotalTime>
  <Pages>4</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Alshehri</cp:lastModifiedBy>
  <cp:revision>3</cp:revision>
  <dcterms:created xsi:type="dcterms:W3CDTF">2026-02-16T16:08:00Z</dcterms:created>
  <dcterms:modified xsi:type="dcterms:W3CDTF">2026-02-20T08:28:00Z</dcterms:modified>
  <cp:category/>
</cp:coreProperties>
</file>