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Spectrum Aided Vision Classification</w:t>
      </w:r>
    </w:p>
    <w:p>
      <w:pPr>
        <w:pStyle w:val="Subtitle"/>
        <w:jc w:val="center"/>
      </w:pPr>
      <w:r>
        <w:t>SAVE-assisted endoscopic image classification</w:t>
      </w:r>
    </w:p>
    <w:p>
      <w:pPr>
        <w:jc w:val="center"/>
      </w:pPr>
      <w:r>
        <w:rPr>
          <w:i/>
          <w:color w:val="5B6573"/>
        </w:rPr>
        <w:t>Technical report prepared from the supplied SAVE document and project-specific result slides</w:t>
      </w:r>
    </w:p>
    <w:p/>
    <w:tbl>
      <w:tblPr>
        <w:tblW w:type="auto" w:w="0"/>
        <w:jc w:val="center"/>
        <w:tblLayout w:type="fixed"/>
        <w:tblLook w:firstColumn="1" w:firstRow="1" w:lastColumn="0" w:lastRow="0" w:noHBand="0" w:noVBand="1" w:val="04A0"/>
      </w:tblPr>
      <w:tblGrid>
        <w:gridCol w:w="4896"/>
        <w:gridCol w:w="4896"/>
      </w:tblGrid>
      <w:tr>
        <w:tc>
          <w:tcPr>
            <w:tcW w:type="dxa" w:w="2500"/>
            <w:shd w:fill="D9EAF7"/>
          </w:tcPr>
          <w:p>
            <w:r>
              <w:rPr>
                <w:b/>
              </w:rPr>
              <w:t>Project type</w:t>
            </w:r>
          </w:p>
        </w:tc>
        <w:tc>
          <w:tcPr>
            <w:tcW w:type="dxa" w:w="6860"/>
          </w:tcPr>
          <w:p>
            <w:r>
              <w:t>Open-source research and engineering repository</w:t>
            </w:r>
          </w:p>
        </w:tc>
      </w:tr>
      <w:tr>
        <w:tc>
          <w:tcPr>
            <w:tcW w:type="dxa" w:w="2500"/>
            <w:shd w:fill="D9EAF7"/>
          </w:tcPr>
          <w:p>
            <w:r>
              <w:rPr>
                <w:b/>
              </w:rPr>
              <w:t>Data availability</w:t>
            </w:r>
          </w:p>
        </w:tc>
        <w:tc>
          <w:tcPr>
            <w:tcW w:type="dxa" w:w="6860"/>
          </w:tcPr>
          <w:p>
            <w:r>
              <w:t>Restricted; raw clinical data is not distributed</w:t>
            </w:r>
          </w:p>
        </w:tc>
      </w:tr>
      <w:tr>
        <w:tc>
          <w:tcPr>
            <w:tcW w:type="dxa" w:w="2500"/>
            <w:shd w:fill="D9EAF7"/>
          </w:tcPr>
          <w:p>
            <w:r>
              <w:rPr>
                <w:b/>
              </w:rPr>
              <w:t>Scope</w:t>
            </w:r>
          </w:p>
        </w:tc>
        <w:tc>
          <w:tcPr>
            <w:tcW w:type="dxa" w:w="6860"/>
          </w:tcPr>
          <w:p>
            <w:r>
              <w:t>Application, SAVE transformation, final checkpoint, evaluation entry point, and selected model results</w:t>
            </w:r>
          </w:p>
        </w:tc>
      </w:tr>
    </w:tbl>
    <w:p>
      <w:r>
        <w:br w:type="page"/>
      </w:r>
    </w:p>
    <w:p>
      <w:pPr>
        <w:pStyle w:val="Heading1"/>
      </w:pPr>
      <w:r>
        <w:t>Executive summary</w:t>
      </w:r>
    </w:p>
    <w:p>
      <w:r>
        <w:t>This repository packages a PyQt5 classification workflow that transforms white-light imagery into a SAVE image and classifies it with an encrypted Ultralytics checkpoint. The model password and restricted clinical dataset are intentionally excluded. A separate command-line evaluator follows the same repository-relative model and lookup-table paths.</w:t>
      </w:r>
    </w:p>
    <w:p>
      <w:pPr>
        <w:pStyle w:val="Heading1"/>
      </w:pPr>
      <w:r>
        <w:t>Spectrum-Aided Vision Enhancer</w:t>
      </w:r>
    </w:p>
    <w:p>
      <w:r>
        <w:t>The supplied technical document describes SAVE as a software method that reconstructs spectral information from RGB or white-light endoscopic imagery and produces a simulated narrow-band image. Calibration uses a 24-patch Macbeth ColorChecker, conversion between sRGB and CIE color spaces, and spectral reconstruction supported by principal component analysis and regression.</w:t>
      </w:r>
    </w:p>
    <w:p>
      <w:r>
        <w:t>The method accounts for camera non-linearity, dark current, color separation, and color distortion. The resulting simulated spectrum is calibrated against Olympus endoscopic imaging, including lighting-spectrum differences in the blue-green region associated with hemoglobin absorption. The final repository application implements this transformation through the supplied nor_wli_nbi_table.npy lookup table.</w:t>
      </w:r>
    </w:p>
    <w:p>
      <w:pPr>
        <w:pStyle w:val="Heading2"/>
      </w:pPr>
      <w:r>
        <w:t>Application pipeline</w:t>
      </w:r>
    </w:p>
    <w:p>
      <w:pPr>
        <w:pStyle w:val="ListBullet"/>
      </w:pPr>
      <w:r>
        <w:t>Accept a white-light image, folder, video, or camera stream.</w:t>
      </w:r>
    </w:p>
    <w:p>
      <w:pPr>
        <w:pStyle w:val="ListBullet"/>
      </w:pPr>
      <w:r>
        <w:t>Convert the input into a SAVE representation with the calibrated lookup table.</w:t>
      </w:r>
    </w:p>
    <w:p>
      <w:pPr>
        <w:pStyle w:val="ListBullet"/>
      </w:pPr>
      <w:r>
        <w:t>Load the final repository checkpoint from Models/Final_Model.</w:t>
      </w:r>
    </w:p>
    <w:p>
      <w:pPr>
        <w:pStyle w:val="ListBullet"/>
      </w:pPr>
      <w:r>
        <w:t>Run classification or detection and present the result in the PyQt5 interface.</w:t>
      </w:r>
    </w:p>
    <w:p>
      <w:pPr>
        <w:pStyle w:val="ListBullet"/>
      </w:pPr>
      <w:r>
        <w:t>Save user-requested runtime outputs outside the restricted training dataset.</w:t>
      </w:r>
    </w:p>
    <w:p>
      <w:pPr>
        <w:pStyle w:val="Heading2"/>
      </w:pPr>
      <w:r>
        <w:t>Technical evaluation of SAVE</w:t>
      </w:r>
    </w:p>
    <w:p>
      <w:r>
        <w:t>The supplied SAVE document evaluates image reconstruction using structural similarity, entropy, and peak signal-to-noise ratio. It reports average PSNR values of 28.0216 dB for VCE images and 27.8819 dB for Olympus images. These figures describe the SAVE reconstruction study and are not newly generated repository benchmarks.</w:t>
      </w:r>
    </w:p>
    <w:p>
      <w:pPr>
        <w:pStyle w:val="Heading1"/>
      </w:pPr>
      <w:r>
        <w:t>Classification dataset</w:t>
      </w:r>
    </w:p>
    <w:p>
      <w:r>
        <w:t>The supplied classification slides describe 1,074 esophageal images from Kaohsiung Medical University Chung-Ho Memorial Hospital, represented as normal, dysplasia, and squamous cell carcinoma. The slides show a 70:20:10 split of 751 training, 214 validation, and 109 test images. The repository does not distribute these restricted clinical images.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3000"/>
            <w:shd w:fill="1F4E78"/>
            <w:vAlign w:val="center"/>
          </w:tcPr>
          <w:p>
            <w:r>
              <w:rPr>
                <w:b/>
                <w:color w:val="FFFFFF"/>
              </w:rPr>
              <w:t>Class</w:t>
            </w:r>
          </w:p>
        </w:tc>
        <w:tc>
          <w:tcPr>
            <w:tcW w:type="dxa" w:w="2120"/>
            <w:shd w:fill="1F4E78"/>
            <w:vAlign w:val="center"/>
          </w:tcPr>
          <w:p>
            <w:r>
              <w:rPr>
                <w:b/>
                <w:color w:val="FFFFFF"/>
              </w:rPr>
              <w:t>Training</w:t>
            </w:r>
          </w:p>
        </w:tc>
        <w:tc>
          <w:tcPr>
            <w:tcW w:type="dxa" w:w="2120"/>
            <w:shd w:fill="1F4E78"/>
            <w:vAlign w:val="center"/>
          </w:tcPr>
          <w:p>
            <w:r>
              <w:rPr>
                <w:b/>
                <w:color w:val="FFFFFF"/>
              </w:rPr>
              <w:t>Validation</w:t>
            </w:r>
          </w:p>
        </w:tc>
        <w:tc>
          <w:tcPr>
            <w:tcW w:type="dxa" w:w="2120"/>
            <w:shd w:fill="1F4E78"/>
            <w:vAlign w:val="center"/>
          </w:tcPr>
          <w:p>
            <w:r>
              <w:rPr>
                <w:b/>
                <w:color w:val="FFFFFF"/>
              </w:rPr>
              <w:t>Testing</w:t>
            </w:r>
          </w:p>
        </w:tc>
      </w:tr>
      <w:tr>
        <w:tc>
          <w:tcPr>
            <w:tcW w:type="dxa" w:w="3000"/>
            <w:vAlign w:val="center"/>
          </w:tcPr>
          <w:p>
            <w:r>
              <w:t>Normal</w:t>
            </w:r>
          </w:p>
        </w:tc>
        <w:tc>
          <w:tcPr>
            <w:tcW w:type="dxa" w:w="2120"/>
            <w:vAlign w:val="center"/>
          </w:tcPr>
          <w:p>
            <w:r>
              <w:t>284</w:t>
            </w:r>
          </w:p>
        </w:tc>
        <w:tc>
          <w:tcPr>
            <w:tcW w:type="dxa" w:w="2120"/>
            <w:vAlign w:val="center"/>
          </w:tcPr>
          <w:p>
            <w:r>
              <w:t>81</w:t>
            </w:r>
          </w:p>
        </w:tc>
        <w:tc>
          <w:tcPr>
            <w:tcW w:type="dxa" w:w="2120"/>
            <w:vAlign w:val="center"/>
          </w:tcPr>
          <w:p>
            <w:r>
              <w:t>41</w:t>
            </w:r>
          </w:p>
        </w:tc>
      </w:tr>
      <w:tr>
        <w:tc>
          <w:tcPr>
            <w:tcW w:type="dxa" w:w="3000"/>
            <w:vAlign w:val="center"/>
          </w:tcPr>
          <w:p>
            <w:r>
              <w:t>Dysplasia</w:t>
            </w:r>
          </w:p>
        </w:tc>
        <w:tc>
          <w:tcPr>
            <w:tcW w:type="dxa" w:w="2120"/>
            <w:vAlign w:val="center"/>
          </w:tcPr>
          <w:p>
            <w:r>
              <w:t>235</w:t>
            </w:r>
          </w:p>
        </w:tc>
        <w:tc>
          <w:tcPr>
            <w:tcW w:type="dxa" w:w="2120"/>
            <w:vAlign w:val="center"/>
          </w:tcPr>
          <w:p>
            <w:r>
              <w:t>67</w:t>
            </w:r>
          </w:p>
        </w:tc>
        <w:tc>
          <w:tcPr>
            <w:tcW w:type="dxa" w:w="2120"/>
            <w:vAlign w:val="center"/>
          </w:tcPr>
          <w:p>
            <w:r>
              <w:t>34</w:t>
            </w:r>
          </w:p>
        </w:tc>
      </w:tr>
      <w:tr>
        <w:tc>
          <w:tcPr>
            <w:tcW w:type="dxa" w:w="3000"/>
            <w:vAlign w:val="center"/>
          </w:tcPr>
          <w:p>
            <w:r>
              <w:t>Squamous cell carcinoma</w:t>
            </w:r>
          </w:p>
        </w:tc>
        <w:tc>
          <w:tcPr>
            <w:tcW w:type="dxa" w:w="2120"/>
            <w:vAlign w:val="center"/>
          </w:tcPr>
          <w:p>
            <w:r>
              <w:t>232</w:t>
            </w:r>
          </w:p>
        </w:tc>
        <w:tc>
          <w:tcPr>
            <w:tcW w:type="dxa" w:w="2120"/>
            <w:vAlign w:val="center"/>
          </w:tcPr>
          <w:p>
            <w:r>
              <w:t>66</w:t>
            </w:r>
          </w:p>
        </w:tc>
        <w:tc>
          <w:tcPr>
            <w:tcW w:type="dxa" w:w="2120"/>
            <w:vAlign w:val="center"/>
          </w:tcPr>
          <w:p>
            <w:r>
              <w:t>34</w:t>
            </w:r>
          </w:p>
        </w:tc>
      </w:tr>
      <w:tr>
        <w:tc>
          <w:tcPr>
            <w:tcW w:type="dxa" w:w="3000"/>
            <w:vAlign w:val="center"/>
          </w:tcPr>
          <w:p>
            <w:r>
              <w:t>Total</w:t>
            </w:r>
          </w:p>
        </w:tc>
        <w:tc>
          <w:tcPr>
            <w:tcW w:type="dxa" w:w="2120"/>
            <w:vAlign w:val="center"/>
          </w:tcPr>
          <w:p>
            <w:r>
              <w:t>751</w:t>
            </w:r>
          </w:p>
        </w:tc>
        <w:tc>
          <w:tcPr>
            <w:tcW w:type="dxa" w:w="2120"/>
            <w:vAlign w:val="center"/>
          </w:tcPr>
          <w:p>
            <w:r>
              <w:t>214</w:t>
            </w:r>
          </w:p>
        </w:tc>
        <w:tc>
          <w:tcPr>
            <w:tcW w:type="dxa" w:w="2120"/>
            <w:vAlign w:val="center"/>
          </w:tcPr>
          <w:p>
            <w:r>
              <w:t>109</w:t>
            </w:r>
          </w:p>
        </w:tc>
      </w:tr>
    </w:tbl>
    <w:p>
      <w:pPr>
        <w:pStyle w:val="Heading1"/>
      </w:pPr>
      <w:r>
        <w:t>Five supplied classification models</w:t>
      </w:r>
    </w:p>
    <w:p>
      <w:r>
        <w:t>The project presentation is intentionally limited to the five requested classification models. The table below records the overall accuracy displayed on each supplied SAVE result slide; no values were recomputed or invented.</w:t>
      </w:r>
    </w:p>
    <w:tbl>
      <w:tblPr>
        <w:tblW w:type="auto" w:w="0"/>
        <w:jc w:val="center"/>
        <w:tblLayout w:type="fixed"/>
        <w:tblLook w:firstColumn="1" w:firstRow="1" w:lastColumn="0" w:lastRow="0" w:noHBand="0" w:noVBand="1" w:val="04A0"/>
      </w:tblPr>
      <w:tblGrid>
        <w:gridCol w:w="3264"/>
        <w:gridCol w:w="3264"/>
        <w:gridCol w:w="3264"/>
      </w:tblGrid>
      <w:tr>
        <w:tc>
          <w:tcPr>
            <w:tcW w:type="dxa" w:w="2600"/>
            <w:shd w:fill="1F4E78"/>
            <w:vAlign w:val="center"/>
          </w:tcPr>
          <w:p>
            <w:r>
              <w:rPr>
                <w:b/>
                <w:color w:val="FFFFFF"/>
              </w:rPr>
              <w:t>Model</w:t>
            </w:r>
          </w:p>
        </w:tc>
        <w:tc>
          <w:tcPr>
            <w:tcW w:type="dxa" w:w="2400"/>
            <w:shd w:fill="1F4E78"/>
            <w:vAlign w:val="center"/>
          </w:tcPr>
          <w:p>
            <w:r>
              <w:rPr>
                <w:b/>
                <w:color w:val="FFFFFF"/>
              </w:rPr>
              <w:t>Displayed SAVE accuracy</w:t>
            </w:r>
          </w:p>
        </w:tc>
        <w:tc>
          <w:tcPr>
            <w:tcW w:type="dxa" w:w="4360"/>
            <w:shd w:fill="1F4E78"/>
            <w:vAlign w:val="center"/>
          </w:tcPr>
          <w:p>
            <w:r>
              <w:rPr>
                <w:b/>
                <w:color w:val="FFFFFF"/>
              </w:rPr>
              <w:t>Role in supplied comparison</w:t>
            </w:r>
          </w:p>
        </w:tc>
      </w:tr>
      <w:tr>
        <w:tc>
          <w:tcPr>
            <w:tcW w:type="dxa" w:w="2600"/>
            <w:vAlign w:val="center"/>
          </w:tcPr>
          <w:p>
            <w:r>
              <w:t>SVM</w:t>
            </w:r>
          </w:p>
        </w:tc>
        <w:tc>
          <w:tcPr>
            <w:tcW w:type="dxa" w:w="2400"/>
            <w:vAlign w:val="center"/>
          </w:tcPr>
          <w:p>
            <w:r>
              <w:t>81.25%</w:t>
            </w:r>
          </w:p>
        </w:tc>
        <w:tc>
          <w:tcPr>
            <w:tcW w:type="dxa" w:w="4360"/>
            <w:vAlign w:val="center"/>
          </w:tcPr>
          <w:p>
            <w:r>
              <w:t>Classical baseline</w:t>
            </w:r>
          </w:p>
        </w:tc>
      </w:tr>
      <w:tr>
        <w:tc>
          <w:tcPr>
            <w:tcW w:type="dxa" w:w="2600"/>
            <w:vAlign w:val="center"/>
          </w:tcPr>
          <w:p>
            <w:r>
              <w:t>CNN</w:t>
            </w:r>
          </w:p>
        </w:tc>
        <w:tc>
          <w:tcPr>
            <w:tcW w:type="dxa" w:w="2400"/>
            <w:vAlign w:val="center"/>
          </w:tcPr>
          <w:p>
            <w:r>
              <w:t>100%</w:t>
            </w:r>
          </w:p>
        </w:tc>
        <w:tc>
          <w:tcPr>
            <w:tcW w:type="dxa" w:w="4360"/>
            <w:vAlign w:val="center"/>
          </w:tcPr>
          <w:p>
            <w:r>
              <w:t>Convolutional classifier</w:t>
            </w:r>
          </w:p>
        </w:tc>
      </w:tr>
      <w:tr>
        <w:tc>
          <w:tcPr>
            <w:tcW w:type="dxa" w:w="2600"/>
            <w:vAlign w:val="center"/>
          </w:tcPr>
          <w:p>
            <w:r>
              <w:t>VGG16</w:t>
            </w:r>
          </w:p>
        </w:tc>
        <w:tc>
          <w:tcPr>
            <w:tcW w:type="dxa" w:w="2400"/>
            <w:vAlign w:val="center"/>
          </w:tcPr>
          <w:p>
            <w:r>
              <w:t>83%</w:t>
            </w:r>
          </w:p>
        </w:tc>
        <w:tc>
          <w:tcPr>
            <w:tcW w:type="dxa" w:w="4360"/>
            <w:vAlign w:val="center"/>
          </w:tcPr>
          <w:p>
            <w:r>
              <w:t>Transfer-learning architecture</w:t>
            </w:r>
          </w:p>
        </w:tc>
      </w:tr>
      <w:tr>
        <w:tc>
          <w:tcPr>
            <w:tcW w:type="dxa" w:w="2600"/>
            <w:vAlign w:val="center"/>
          </w:tcPr>
          <w:p>
            <w:r>
              <w:t>Logistic Regression</w:t>
            </w:r>
          </w:p>
        </w:tc>
        <w:tc>
          <w:tcPr>
            <w:tcW w:type="dxa" w:w="2400"/>
            <w:vAlign w:val="center"/>
          </w:tcPr>
          <w:p>
            <w:r>
              <w:t>75%</w:t>
            </w:r>
          </w:p>
        </w:tc>
        <w:tc>
          <w:tcPr>
            <w:tcW w:type="dxa" w:w="4360"/>
            <w:vAlign w:val="center"/>
          </w:tcPr>
          <w:p>
            <w:r>
              <w:t>Classical baseline</w:t>
            </w:r>
          </w:p>
        </w:tc>
      </w:tr>
      <w:tr>
        <w:tc>
          <w:tcPr>
            <w:tcW w:type="dxa" w:w="2600"/>
            <w:vAlign w:val="center"/>
          </w:tcPr>
          <w:p>
            <w:r>
              <w:t>MobileNetV2</w:t>
            </w:r>
          </w:p>
        </w:tc>
        <w:tc>
          <w:tcPr>
            <w:tcW w:type="dxa" w:w="2400"/>
            <w:vAlign w:val="center"/>
          </w:tcPr>
          <w:p>
            <w:r>
              <w:t>87%</w:t>
            </w:r>
          </w:p>
        </w:tc>
        <w:tc>
          <w:tcPr>
            <w:tcW w:type="dxa" w:w="4360"/>
            <w:vAlign w:val="center"/>
          </w:tcPr>
          <w:p>
            <w:r>
              <w:t>Transfer-learning architecture</w:t>
            </w:r>
          </w:p>
        </w:tc>
      </w:tr>
    </w:tbl>
    <w:p>
      <w:r>
        <w:t>The current desktop application loads the final encrypted checkpoint supplied in Models/Final_Model. The comparison table above documents the selected presentation results and should not be interpreted as proof that every listed architecture is bundled as a checkpoint.</w:t>
      </w:r>
    </w:p>
    <w:p>
      <w:pPr>
        <w:pStyle w:val="Heading1"/>
      </w:pPr>
      <w:r>
        <w:t>Repository operation and reproducibility</w:t>
      </w:r>
    </w:p>
    <w:p>
      <w:pPr>
        <w:pStyle w:val="ListBullet"/>
      </w:pPr>
      <w:r>
        <w:t>Install packages from requirements.txt in a dedicated Python environment.</w:t>
      </w:r>
    </w:p>
    <w:p>
      <w:pPr>
        <w:pStyle w:val="ListBullet"/>
      </w:pPr>
      <w:r>
        <w:t>Run App/Source Code/app.py for the desktop application.</w:t>
      </w:r>
    </w:p>
    <w:p>
      <w:pPr>
        <w:pStyle w:val="ListBullet"/>
      </w:pPr>
      <w:r>
        <w:t>Run Evaluation/inference.py --help for command-line options.</w:t>
      </w:r>
    </w:p>
    <w:p>
      <w:pPr>
        <w:pStyle w:val="ListBullet"/>
      </w:pPr>
      <w:r>
        <w:t>Provide the authorized model password through the prompt or command-line option; do not commit it.</w:t>
      </w:r>
    </w:p>
    <w:p>
      <w:pPr>
        <w:pStyle w:val="ListBullet"/>
      </w:pPr>
      <w:r>
        <w:t>Use Git LFS when cloning or publishing large binary artifacts.</w:t>
      </w:r>
    </w:p>
    <w:p>
      <w:pPr>
        <w:pStyle w:val="Heading1"/>
      </w:pPr>
      <w:r>
        <w:t>Limitations and responsible use</w:t>
      </w:r>
    </w:p>
    <w:p>
      <w:pPr>
        <w:pStyle w:val="ListBullet"/>
      </w:pPr>
      <w:r>
        <w:t>The clinical dataset is restricted and is not open source.</w:t>
      </w:r>
    </w:p>
    <w:p>
      <w:pPr>
        <w:pStyle w:val="ListBullet"/>
      </w:pPr>
      <w:r>
        <w:t>The final checkpoint uses abbreviated stored class labels; they are not expanded without an authoritative mapping.</w:t>
      </w:r>
    </w:p>
    <w:p>
      <w:pPr>
        <w:pStyle w:val="ListBullet"/>
      </w:pPr>
      <w:r>
        <w:t>The repository is a research prototype and is not a regulated medical device.</w:t>
      </w:r>
    </w:p>
    <w:p>
      <w:pPr>
        <w:pStyle w:val="ListBullet"/>
      </w:pPr>
      <w:r>
        <w:t>Performance values come from the supplied project materials and require independent validation before clinical use.</w:t>
      </w:r>
    </w:p>
    <w:p>
      <w:pPr>
        <w:pStyle w:val="Heading1"/>
      </w:pPr>
      <w:r>
        <w:t>Conclusion</w:t>
      </w:r>
    </w:p>
    <w:p>
      <w:r>
        <w:t>The repository brings the SAVE transformation, classification application, final encrypted checkpoint, reproducible inference entry point, documentation, and authentic demonstration video into one publication-oriented structure while keeping restricted data and credentials outside version control.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8"/>
      </w:rPr>
      <w:t>Spectrum Aided Vision Classification |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8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