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rPr/>
      </w:pPr>
      <w:r w:rsidDel="00000000" w:rsidR="00000000" w:rsidRPr="00000000">
        <w:rPr>
          <w:b w:val="1"/>
          <w:bCs w:val="1"/>
          <w:color w:val="1f3864"/>
          <w:sz w:val="32"/>
          <w:szCs w:val="32"/>
          <w:rtl w:val="0"/>
        </w:rPr>
        <w:t xml:space="preserve">Assignment 2 — Build Your Knowledge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Team of 3 · Milestone 2 of 4 · Type your answers directly in the blank cells — they grow as you type.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0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Strict compliance: </w:t>
            </w:r>
            <w:r w:rsidDel="00000000" w:rsidR="00000000" w:rsidRPr="00000000">
              <w:rPr>
                <w:rtl w:val="0"/>
              </w:rP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5860"/>
        <w:tblGridChange w:id="0">
          <w:tblGrid>
            <w:gridCol w:w="3500"/>
            <w:gridCol w:w="58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0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the same project name you used in Assignment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ATLAS: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  <w:t xml:space="preserve">daptive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  <w:t xml:space="preserve">extbook-Grounded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  <w:t xml:space="preserve">earning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  <w:t xml:space="preserve">ssessment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  <w:t xml:space="preserve">ystem </w:t>
            </w:r>
          </w:p>
        </w:tc>
      </w:tr>
    </w:tbl>
    <w:p w:rsidR="00000000" w:rsidDel="00000000" w:rsidP="00000000" w:rsidRDefault="00000000" w:rsidRPr="00000000" w14:paraId="00000008">
      <w:pPr>
        <w:spacing w:after="60" w:before="12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 members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In 'Worked sections', list the sections each member led. Every section must be owned by someone; each member submits the AI-chat behind their own sections (Section 8).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3000"/>
        <w:gridCol w:w="2360"/>
        <w:gridCol w:w="2300"/>
        <w:tblGridChange w:id="0">
          <w:tblGrid>
            <w:gridCol w:w="1700"/>
            <w:gridCol w:w="3000"/>
            <w:gridCol w:w="2360"/>
            <w:gridCol w:w="230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0A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0B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Full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0C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Student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0D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Worked sections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Student 1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Sakif Naieb Raiyan 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2105065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Student 2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Sayaad Muzahid Masfi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2105066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1, 6, 7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Student 3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Omar Abdur Razzaque 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2105094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1-4</w:t>
            </w:r>
          </w:p>
        </w:tc>
      </w:tr>
    </w:tbl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1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this assignment is: </w:t>
            </w:r>
            <w:r w:rsidDel="00000000" w:rsidR="00000000" w:rsidRPr="00000000">
              <w:rPr>
                <w:rtl w:val="0"/>
              </w:rP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:rsidR="00000000" w:rsidDel="00000000" w:rsidP="00000000" w:rsidRDefault="00000000" w:rsidRPr="00000000" w14:paraId="0000001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to hand in: </w:t>
            </w:r>
            <w:r w:rsidDel="00000000" w:rsidR="00000000" w:rsidRPr="00000000">
              <w:rPr>
                <w:rtl w:val="0"/>
              </w:rP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:rsidR="00000000" w:rsidDel="00000000" w:rsidP="00000000" w:rsidRDefault="00000000" w:rsidRPr="00000000" w14:paraId="0000001D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1 — Recap from Assignment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Copy these from A1 so this form stands alone. Do NOT change the success metric — your system in A3 is judged on it.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5860"/>
        <w:tblGridChange w:id="0">
          <w:tblGrid>
            <w:gridCol w:w="3500"/>
            <w:gridCol w:w="58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1F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Our three choices (from A1)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domain · data speciality · primary NFR + target — one line each.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Domain: High School STEM Education (Advanced High School &amp; Calculus Mathematics) — curriculum-aligned practice, hints, and step-by-step solutions for CAPS/AP students and tutors. Data speciality: Math / Scientific Notation — dense fractions, multi-line derivations, integrals, matrices, and geometric diagrams in scanned STEM textbooks. Primary NFR + target: Explainable — 100% of generated solutions carry step-by-step reasoning, source citations, and retrieval justification; Grounded Explanation Faithfulness Score ≥ 0.90. 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Success metric (from A1)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the single answer-quality metric and target,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Grounded Explanation Faithfulness Score ≥ 0.90 (LLM-judge step verification), alongside Symbolic Step Match Accuracy ≥ 0.85, measured against the Lazy Baseline of naive BM25 top-1 retrieval (Answer Math-F1/Accuracy = 0.35). 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Our corpus (from A1)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source, size (pages/words), and the one thing that makes it hard to read.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Siyavula Everything Maths (Grades 11 &amp; 12, CC BY) + OpenStax Calculus Vol. 1 &amp; 2 (CC BY-NC-SA 4.0) — 2,521 pages, 744,092 words, 398.144MB. Hardest thing to read: dense, 2D-spatial math notation (fractions, superscripts/subscripts, multi-line aligned derivations) that sequential OCR flattens into ambiguous linear text. 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2 — The Structure We Exploit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Every model choice is a bet on structure in the data. Name the structure your pipeline relies on, and the things it must ignore.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5860"/>
        <w:tblGridChange w:id="0">
          <w:tblGrid>
            <w:gridCol w:w="3500"/>
            <w:gridCol w:w="58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Structure in the page image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what a vision model can exploit — nearby pixels form strokes/characters; a character looks the same when shifted. Drives your layout &amp; enhancement choices.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 math-heavy textbook page still has 2D-spatial structure, not just linear text: a fraction bar signals numerator-over-denominator, superscripts/subscripts sit off the main baseline, and aligned "=" signs across a multi-line derivation signal "these are equivalent expressions" as a layout cue, not a text cue. Our Layout stage exploits this at the page level before OCR ever runs: DocLayout-YOLO (a pretrained document-layout model, configs/config.yaml: layout.model) separates text/table/figure/heading regions when its pip extra is installed; when it isn't (this Windows dev machine -- its albumentations/stringzilla dependency chain has no prebuilt wheel here), vision/layout.py falls back to a deterministic PyMuPDF detector that reads the original born-digital PDF's own structure (find_tables(), get_images(), a font-size heading heuristic, with a column-aware merge pass) rather than inferring structure from a flattened image -- arguably more reliable for our clean, born-digital corpus than image-based CV. Either path guarantees every page yields &gt;=1 region so no page is silently dropped.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Structure in the text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what a sequence model can exploit — reading order and context carry meaning; conjuncts/ligatures span characters. Drives your OCR &amp; embedding choices.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Reading order and context carry meaning across a worked example's steps, and LaTeX tokens/prose need to embed consistently so a plain-English query can retrieve a chunk that's mostly LaTeX. This drives our OCR stage (Nougat-small, facebook/nougat-small, emits ordered markdown+LaTeX from a vision-to-markup pass -- not a line-sequential OCR engine that would flatten a fraction or scramble a multi-line derivation) and our chunking (index/chunk.py::split() re-chunks the raw per-region OCR output into chunk_tokens=256 / overlap=32 token windows, counted via the embedding model's own tokenizer, with a boundary guard that pushes a cut point past any open display-math block rather than splitting a formula across two chunks) and embedding (sentence-transformers/all-mpnet-base-v2 embeds the mixed prose+LaTeX chunk text as one sequence).</w:t>
            </w: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0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should NOT change the answer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variations the system must be robust to — page position, font, mild skew, scan noise, ink bleed. Knowing these points you to the right model and augmentation.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Page position, font, and minor rendering variation should not change the answer -- our 4 sources are clean, born-digital PDFs rasterised at 300dpi RGB (scripts/get_data.sh), so scan noise/skew are non-issues by construction (ingest/preprocess.py only drops genuinely blank/corrupt pages -- 0 pages hit this on the real corpus). What must remain robust: which of the two curricula's notation convention a page uses (Siyavula/CAPS vs. OpenStax), and which layout-detector backend ran (DocLayout-YOLO on Kaggle/CI vs. the PyMuPDF fallback here) -- neither should change a chunk's actual OCR'd text, only which regions triage into it, which is why vision/layout.py guarantees every page still yields &gt;=1 region under either backend.</w:t>
            </w:r>
          </w:p>
        </w:tc>
      </w:tr>
    </w:tbl>
    <w:p w:rsidR="00000000" w:rsidDel="00000000" w:rsidP="00000000" w:rsidRDefault="00000000" w:rsidRPr="00000000" w14:paraId="00000033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3 — Components &amp; Options We Considered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00" w:lineRule="auto"/>
        <w:rPr/>
      </w:pPr>
      <w:r w:rsidDel="00000000" w:rsidR="00000000" w:rsidRPr="00000000">
        <w:rPr>
          <w:rtl w:val="0"/>
        </w:rPr>
        <w:t xml:space="preserve">For each stage, name the options you compared and your choice. </w:t>
      </w:r>
      <w:r w:rsidDel="00000000" w:rsidR="00000000" w:rsidRPr="00000000">
        <w:rPr>
          <w:b w:val="1"/>
          <w:bCs w:val="1"/>
          <w:rtl w:val="0"/>
        </w:rPr>
        <w:t xml:space="preserve">At least one choice must be an existing published/pretrained method you reproduce and adapt</w:t>
      </w:r>
      <w:r w:rsidDel="00000000" w:rsidR="00000000" w:rsidRPr="00000000">
        <w:rPr>
          <w:rtl w:val="0"/>
        </w:rPr>
        <w:t xml:space="preserve"> (your OCR foundation is the natural one — reproducing someone else's method is the core skill for adopting whatever comes next). Mark it in the last column.</w:t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00"/>
        <w:gridCol w:w="3200"/>
        <w:gridCol w:w="1560"/>
        <w:tblGridChange w:id="0">
          <w:tblGrid>
            <w:gridCol w:w="1700"/>
            <w:gridCol w:w="2900"/>
            <w:gridCol w:w="320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3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36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Options we compared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37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Our choice + why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38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Reproduced? (≥1 yes)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Enhancement (bonus)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Classical denoise vs VAE/diffusion enhancement vs no enhancement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No enhancement (enhance.enabled=false in configs/config.yaml). Our 4 sources are born-digital PDFs rasterised directly at 300dpi RGB (scripts/get_data.sh), not photographed scans -- there is no skew, speckle, staining, or fading to repair, confirmed by ingest/preprocess.py's blank/corrupt-page gate finding 0 pages needing correction on the real corpus.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N/A (stage skipped, justified in A1 Section 6 and Section 5 below)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Layout detection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A pretrained document-layout model vs a deterministic heuristic reading the source PDF's own structure directly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DocLayout-YOLO (juliozhao/DocLayout-YOLO-DocStructBench, a 2024 published pretrained doc-layout model, pip extra layout-yolo) as primary, with a hand-written PyMuPDF structural detector (find_tables(), get_images(), a font-size heading heuristic, column-aware block merge) as automatic fallback when the extra isn't installed -- its albumentations -&gt; albucore -&gt; stringzilla dependency chain has no prebuilt Windows wheel, so this dev machine runs the fallback path in practice; Linux CI/Kaggle get DocLayout-YOLO. The fallback reads the original PDF structure rather than inferring layout from a flattened image, which fits our clean/born-digital corpus at least as well as a vision model would.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Yes (DocLayout-YOLO is the genuinely reproduced pretrained method; verified on a real 20-page sample: 294 merged text/heading regions + tables + figures, 0 empty pages)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OCR / HTR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Tesseract vs TrOCR vs Donut vs Nougat vs LaTeX-OCR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Nougat-small (facebook/nougat-small, loaded via transformers' VisionEncoderDecoderModel/NougatProcessor) as the sole reader -- a vision-to-markup model trained to emit LaTeX for equations and structured markdown for prose in one pass, unlike Tesseract/TrOCR which are line-sequential and lose fraction bars and superscript/subscript structure (directly the hard property A1 Section 2 named for our data speciality). We dropped an earlier plan for a separate LaTeX-OCR fallback on figure crops: figure regions are skipped entirely by vision/ocr.py::transcribe() (nothing to OCR in a diagram; A3's read_page/enhance_page tools handle visual context instead), so a second model would have had no real target.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Yes -- this is our primary reproduced/adapted published method. Verified on real content: T_n = an^2+bn+c correctly reconstructed with proper LaTeX sub/superscripts from an actual Siyavula worked example (Section 5).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Chunking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i w:val="1"/>
                <w:iCs w:val="1"/>
                <w:color w:val="59595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Fixed-size token chunking vs semantic/theorem-boundary chunking vs a token-window with a math-boundary guard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 token-window chunker (index/chunk.py::split()) at chunk_tokens=256 / overlap=32, counted via the embedding model's own tokenizer (not a raw word count), with a boundary guard that pushes a cut point past any open display-math block rather than splitting a formula across two chunks. We simplified away from an earlier theorem/problem-boundary regex splitter -- harder to keep robust across both curricula's differing markdown conventions -- to this leaner token-window-plus-math-guard approach, which still satisfies the same real requirement (never split a formula) with less surface area to get wrong.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No (rule-based, from scratch)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Embedding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General-purpose sentence embedder vs a math/LaTeX-specialised embedder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sentence-transformers/all-mpnet-base-v2 (768-dim, pinned HF revision for reproducibility and bandit B615), embedding the mixed prose+LaTeX chunk text as-is, L2-normalised so the flat index's inner product is exact cosine similarity. Chosen as a strong, stable, general-purpose pretrained embedder over a math-specialised one we would need to fine-tune ourselves -- verified working on a real query (Section 5): the reduction-formula query correctly retrieves the reduction-formula chunk as the top hit.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Yes (used pretrained, unmodified)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Vector index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Flat (exact) index vs HNSW vs IVF/PQ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FAISS IndexFlatIP (exact cosine via inner product over L2-normalised vectors) -- not IndexHNSWFlat. We started with HNSW and hit a real, reproducible native crash: live debugging isolated a Windows STATUS_ACCESS_VIOLATION inside faiss-cpu 1.8.0's IndexHNSWFlat.add() itself on this machine, confirmed with a bare numpy+FAISS repro with zero ML models involved -- ruling out our earlier OCR/embed-interaction hypotheses. IndexFlatIP does not crash on identical data, and at our scale (thousands, not millions, of chunks) exact search costs nothing observable versus approximate HNSW, so this is a reliability win with no accuracy trade-off, not a compromise.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N/A (infrastructure choice, not a trained/pretrained method)</w:t>
            </w:r>
          </w:p>
        </w:tc>
      </w:tr>
    </w:tbl>
    <w:p w:rsidR="00000000" w:rsidDel="00000000" w:rsidP="00000000" w:rsidRDefault="00000000" w:rsidRPr="00000000" w14:paraId="00000051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4 — The Knowledge Base We Built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What actually runs. State the model/checkpoint and the key parameters per stage, and whether it's pretrained, fine-tuned, or from scratch.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2700"/>
        <w:gridCol w:w="2400"/>
        <w:gridCol w:w="2360"/>
        <w:tblGridChange w:id="0">
          <w:tblGrid>
            <w:gridCol w:w="1900"/>
            <w:gridCol w:w="2700"/>
            <w:gridCol w:w="2400"/>
            <w:gridCol w:w="23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53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5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Model / checkpoint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5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Key 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56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Pretrained / fine-tuned / scratch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Ingest + enhance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None -- deterministic PyMuPDF rasteriser (scripts/get_data.sh); no enhancement model (enhance.enabled=false)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300dpi, RGB, PNG output (data/raw/&lt;book_id&gt;/&lt;page_num&gt;.png); ingest/preprocess.py drops pages with width/height &lt; 10px or greyscale std-dev &lt; 3.0 (blank/near-uniform-page gate)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N/A -- not a learned model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Layout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juliozhao/DocLayout-YOLO-DocStructBench (pinned HF revision), pip extra layout-yolo; auto-falls back to a PyMuPDF structural detector when unavailable (this dev machine's actual runtime path)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score_thr=0.4; DocStructBench's native classes mapped to our 4 Region kinds (text/table/figure/heading); PyMuPDF fallback: heading font size &gt;=13.0pt, block-merge gap &lt;=11.0pt, column bucket width 60.0pt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Pretrained (used as-is, no fine-tuning this milestone)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OCR / HTR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facebook/nougat-small (pinned HF revision) via transformers' native VisionEncoderDecoderModel/NougatProcessor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max_new_tokens=1536; each region crop padded 2% so edge strokes/superscripts aren't clipped; figure regions skipped entirely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Pretrained (finetune=false this milestone)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Chunk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Rule-based token-window splitter (index/chunk.py::split()) -- not a trained model</w:t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chunk_tokens=256, overlap=32 (measured via the embedding model's own tokenizer); boundary guard extends a window past any open display-math block</w:t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From scratch (rule-based)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Embed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sentence-transformers/all-mpnet-base-v2 (pinned HF revision)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dim=768, batch_size=32, embeddings L2-normalised (inner product = cosine similarity)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Pretrained (unmodified)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FAISS IndexFlatIP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metric=inner product over normalised vectors (exact cosine); persists faiss.index + meta.jsonl chunk sidecar + index_stats.json under data/interim/index/ (gitignored, rebuilt by scripts/build_index.sh)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N/A -- not a learned model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6F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pipeline in one line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pages → clean → (enhance) → layout → OCR → chunk → embed → store. Note anything you changed from the default.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data/raw/*.pdf -&gt; [ingest: PyMuPDF rasterise @300dpi RGB, scripts/get_data.sh] -&gt; [preprocess: blank/corrupt-page gate, ingest/preprocess.py] -&gt; [enhance: SKIPPED, enhance.enabled=false] -&gt; [layout: DocLayout-YOLO, PyMuPDF fallback] -&gt; [OCR: Nougat-small, per-region Chunk with markdown+LaTeX text, figures skipped] -&gt; [PII: governance/pii.py redacts emails/ID numbers/phones, wired AFTER_OCR] -&gt; [chunk: index/chunk.py re-windows to 256 tok/32 overlap with a math-boundary guard] -&gt; [embed: all-mpnet-base-v2, 768-dim, normalised] -&gt; [store: FAISS IndexFlatIP]. Changed from our earlier plan: OCR dropped the separate LaTeX-OCR fallback (figures are skipped, not OCR'd, so it had no real target); layout switched from LayoutParser/PubLayNet to DocLayout-YOLO with a PyMuPDF structural fallback (Windows install issue); chunking switched from a theorem-boundary regex splitter to a leaner math-boundary-guarded token window; the vector index switched from FAISS HNSW to FAISS flat after a real, diagnosed native crash (Section 3).</w:t>
            </w:r>
          </w:p>
        </w:tc>
      </w:tr>
    </w:tbl>
    <w:p w:rsidR="00000000" w:rsidDel="00000000" w:rsidP="00000000" w:rsidRDefault="00000000" w:rsidRPr="00000000" w14:paraId="00000072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5 — Evidence It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A build milestone needs proof, not promises. Show real numbers and one real retrieval.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5860"/>
        <w:tblGridChange w:id="0">
          <w:tblGrid>
            <w:gridCol w:w="3500"/>
            <w:gridCol w:w="58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OCR quality on a sample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measure reading quality on a labelled sample (character/word error rate, or F1). State the number and the sample size.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Character Error Rate (Levenshtein distance / ground-truth length) against grading_kit/labels.jsonl's 3 held-out pages (notebooks/kb_demo.ipynb, real run): openstax_calc1_p0150 57.1%, siyavula_gr12_p0080 51.3%, openstax_calc2_p0120 61.0% -- average CER 56.5% over 3 pages. This is honestly high: Nougat-small hallucinates a [MISSING_PAGE_POST] token and drops the exercise/example numbering on the openstax_calc1_p0150 sample (see "worst failure" below), and our CER metric penalises markdown-formatting differences (## / **) as heavily as real content errors, which inflates it further. We report it as measured rather than picking a friendlier metric or a friendlier sample.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7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Index statistics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chunks indexed, embedding dimension, index type, corpus coverage (pages/words indexed vs total).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From data/interim/index/index_stats.json (a real run, dev.max_pages=4, built 2026-08-13T19:25Z): 13 chunks indexed, embedding dim 768, index type faiss:flat, embed model sentence-transformers/all-mpnet-base-v2, OCR model facebook/nougat-small, chunk_tokens=256/overlap=32, across all 4 books (siyavula_gr11, siyavula_gr12, openstax_calc1, openstax_calc2). This is a small local-CPU smoke-test slice (4 pages sampled across the 4 books, per dev.max_pages), not the full 2,521-page corpus -- the full build is designed to run unmodified on Kaggle T4x2 GPU with dev.max_pages=0, since Nougat OCR at full scale is impractical on CPU alone (~5-8s/region, per configs/config.yaml's own measurement).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A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One retrieval example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a real query, the top chunk returned, and whether it's the right page. Show one that worked.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Query: "What is the reduction formula for trigonometric functions?" (notebooks/kb_demo.ipynb, real run against the 13-chunk index above). Top result: siyavula_gr11_c0000, score=0.5663 -- "### 6.3 Reduction formula Any trigonometric function whose argument is 90 deg +/- theta..." -- the correct chunk, from the correct page and the correct book. The notebook's assertion (top.doc_id == "siyavula_gr11" and "eduction formula" in top.text) evaluates True. The #2 and #3 results are also from the same siyavula_gr11 reduction-formula page, showing the retriever is finding the right neighbourhood even where individual chunk boundaries are imperfect.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worst failure we saw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where reading or retrieval failed badly, and your read on why (honest — this shapes A3).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On openstax_calc1_p0150 (a genuine held-out page, Example 2.15), Nougat-small's output opens with a hallucinated [MISSING_PAGE_POST] token that isn't present in the source at all, and collapses the printed chapter/example heading ("142 2 - Limits ... EXAMPLE 2.15 ... Using Limit Laws Repeatedly") into a garbled run-on ("## Chapter 2 Using Limit Laws Repeatedly"), losing the example number and merging two separate headings. The actual limit-law derivation further down the page is reconstructed correctly -- the failure is concentrated in headings/structural markup, not formula transcription -- but it is exactly the "OCR failure and hallucination" risk A1 predicted, and it's the biggest single reason our CER numbers above are as high as they are.</w:t>
            </w:r>
          </w:p>
        </w:tc>
      </w:tr>
    </w:tbl>
    <w:p w:rsidR="00000000" w:rsidDel="00000000" w:rsidP="00000000" w:rsidRDefault="00000000" w:rsidRPr="00000000" w14:paraId="00000080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6 — The Plan for A3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What's left: turn the knowledge base into an answering agent, then evaluate it.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5860"/>
        <w:tblGridChange w:id="0">
          <w:tblGrid>
            <w:gridCol w:w="3500"/>
            <w:gridCol w:w="58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we'll build next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retrieval + rerank, the agent loop + tools, guardrails/HITL, grounding, evaluation — and RL/RLVR if you attempt the bonus.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Build Stage 5 (retrieval + cross-encoder rerank -- already configured in configs/config.yaml: retrieve.rerank=true, reranker: cross-encoder/ms-marco-MiniLM-L6-v2) and Stage 6 (the agent loop over the 9 fixed tools in agent/tools.py). The mandatory evidence-gated re-search is already parameterised (retrieve.k=10, k_step=10, k_max=40, weak_threshold=0.35) and will be implemented in agent/agent.py::decide() -- widen k on a weak top-score, abstain at k_max. On top of that we build our Explainable NFR: every agent step logged with a plain-language reason (agent.autonomy: act-with-approval), grounding/citation checks in llm/postprocess.py (already wired to BEFORE_ANSWER), and eval/interpret.py for retrieval-score attribution.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6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Our evaluation set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how you'll write tasks.jsonl for YOUR domain — the questions your real user would ask; include enough checkable (verifiable) items and abstention cases.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grading_kit/tasks.jsonl will be authored from real end-of-chapter exercises across all four books: definitional questions (state a rule/theorem, e.g. the reduction formula verified in Section 5), procedural questions with a checkable numeric/symbolic answer, formula-recall questions, and multi-hop questions chaining two concepts. We include verifiable items (exact-match, for objective grading/RLVR), judged items (LLM-judge for multi-step reasoning quality), and deliberate out-of-corpus abstention cases (e.g. differential equations, which none of our four textbooks cover).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9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Biggest risk / unknown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the thing most likely to break in A3, and your first idea to handle it.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Biggest risk: our own Section 5 numbers show it already happening, not just a predicted risk -- 56.5% average CER on 3 real held-out pages, driven by Nougat-small hallucinating structural tokens ([MISSING_PAGE_POST]) and garbling headings under real conditions. First idea to handle it: route pages whose OCR output looks structurally broken (an unexpected [MISSING_PAGE_POST], or a region failing a minimum-length/repetition sanity check) to escalate_to_human or a flagged-for-review list rather than silently indexing them, and re-measure CER on the full corpus once we can run on Kaggle GPU rather than a 4-page local sample -- our current numbers may not represent the full 2,521-page distribution.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7 — Design Choices &amp; Justification (knowledge-base stages)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00" w:lineRule="auto"/>
        <w:rPr/>
      </w:pPr>
      <w:r w:rsidDel="00000000" w:rsidR="00000000" w:rsidRPr="00000000">
        <w:rPr>
          <w:rtl w:val="0"/>
        </w:rPr>
        <w:t xml:space="preserve">Extend the eight-facet table to the stages you built (Stages 1–4). This is the graded design artifact (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configs/design_choices.md</w:t>
      </w:r>
      <w:r w:rsidDel="00000000" w:rsidR="00000000" w:rsidRPr="00000000">
        <w:rPr>
          <w:rtl w:val="0"/>
        </w:rPr>
        <w:t xml:space="preserve">).</w:t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400"/>
        <w:gridCol w:w="3760"/>
        <w:tblGridChange w:id="0">
          <w:tblGrid>
            <w:gridCol w:w="2200"/>
            <w:gridCol w:w="3400"/>
            <w:gridCol w:w="37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8E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Facet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8F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Our choice across the knowledge-base stages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90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Why — fits our corpus · what it costs · what would change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Problem statement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Each of Stages 1-4 has its own narrowly-scoped, testable goal rather than one vague "process the corpus" objective: Ingest = zero silently-dropped pages (len(pages) == manifest count); Layout = every page yields &gt;=1 region before OCR runs; OCR = read text and preserve LaTeX without fabricating on failure; Index = a chunk count/dim/coverage in index_stats.json that traces back to the actual corpus processed. Stage 0 own framing (domain/data-speciality/NFR) is recapped unchanged from A1 in Section 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Scoping each stage success narrowly means a failure is attributable to one stage rather than the whole pipeline, and each is independently checkable (data/validate.py, layout.py guaranteed-region fallback, index_stats.json). The cost is that a stage can look healthy in isolation while still hurting the end task -- which is exactly why Section 5 real CER/retrieval numbers matter more than any single stage internal check. We would add stage-level acceptance tests if that gap proved too wide in A3.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The same 4 born-digital PDFs (2,521 pages) flow through every stage via one typed contract (Page -&gt; Region -&gt; Chunk), split by document (train = siyavula_gr11 + openstax_calc1, test = siyavula_gr12 + openstax_calc2, no leakage). data.validate.validate() re-asserts the corpus meets the declared floor (&gt;=300 pages, &gt;=60k words) on every real run, not just once at A1 -- and the real, code-verified word count (573,318, notebooks/eda.ipynb) is now what every current file (grading_kit/manifest.yaml, configs/design_choices.md) reports, distinct from A1 original ~744k estimate which stays frozen in configs/task.yaml per the "do not change" rule.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 single fixed contract lets each stage trust the previous stage output shape without re-validating its content, which fits our clean corpus and keeps stages independently testable -- at the cost of assuming a stage output is correct just because its shape is valid, which is why ingest/preprocess.py and data/validate.py add explicit content checks (blank-page detection, word-count floor) rather than relying on the contract alone. We would add real per-field content validation at each hand-off if we ingested a noisier corpus.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Model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Every learned stage uses a pretrained checkpoint rather than training from scratch: DocLayout-YOLO (with a PyMuPDF structural fallback when its extra is not installed) for layout, Nougat-small for OCR, all-mpnet-base-v2 for embedding -- all pinned to a specific HF revision (fixes bandit B615, protects against upstream weights changing under us). Enhancement and vector-indexing have no model at all: enhancement is a genuine no-op for our clean corpus, and FAISS IndexFlatIP is infrastructure, not a trained component.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Reproducing published pretrained checkpoints (the 1-or-more-reproduced-method requirement) keeps compute cost near zero this milestone and inherits community-vetted layout/OCR capability we could not match training on 2,521 pages ourselves. The cost is domain fit left on the table (DocStructBench generic classes, a general-purpose rather than math-specialised embedder) -- and Section 5 real 56.5% average CER shows this cost is not just theoretical. We would revisit if A3 shows pretrained-as-is genuinely cannot support citation-grade answers.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Methods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Inference-only pretrained models plus two from-scratch rule-based components (the PyMuPDF layout fallback, the math-boundary-guarded token-window chunker) -- no fine-tuning anywhere this milestone. Hand-set parameters: score_thr=0.4 (layout), max_new_tokens=1536 (OCR), chunk_tokens=256/overlap=32 (chunking), all in configs/config.yaml, not tuned against a metric.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This matches what a build milestone actually asks for -- working code and evidence it reads and retrieves, not new trained weights -- and keeps every parameter in one auditable place. The cost is that quality is bounded by hand-set thresholds rather than something optimised; Section 5 real failure case (a hallucinated MISSING-PAGE-POST token, garbled headings) is exactly the kind of thing tuning max_new_tokens or adding a repetition guard might address. We would revisit if A3 evaluation shows these thresholds mis-triggering often enough to justify it.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Design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Each stage lives in its own module consuming only the fixed contract from the stage before it (ingest/loader.py -&gt; vision/layout.py -&gt; vision/ocr.py -&gt; index/chunk.py -&gt; index/embed.py -&gt; index/store.py), wired through pipeline.py fixed stage order and cross-cutting seams (hooks.py/wiring.py) for PII redaction (AFTER_OCR) rather than inlined into any one stage.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 bad OCR run cannot silently corrupt layout output, and re-running one stage does not require re-running the others; the seam-based PII wiring means privacy is not bolted onto one specific stage code. The cost is more glue code and intermediate on-disk caching (data/raw/, data/interim/index/) than a single monolithic script. We would fuse adjacent stages only if per-stage disk round-trips became a real bottleneck at full-corpus scale.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Development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Every real check we added traces to an actual failure or bug we hit while building this, not generic defensive coding: ingest/preprocess.py blank/near-uniform-page gate (greyscale std-dev below 3.0) and degenerate-image-size guard; data/validate.py corpus-floor re-assertion on every run; a real, live-debugged native crash in FAISS IndexHNSWFlat.add() (Windows access violation), isolated with a bare numpy+FAISS repro with zero ML models involved, fixed by switching to IndexFlatIP; and scripts/get_data.sh incremental manifest-write, added after a transient DNS failure silently lost two books manifest rows on an early real run.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Targeting real, observed failures rather than hypothetical ones means our limited testing time went where it actually mattered -- the FAISS crash in particular took several wrong hypotheses (an MKL/OpenMP conflict, thread-count env vars, batch size) before a minimal repro isolated the true cause, which is a genuine debugging story, not a guess. The cost is more code paths to maintain. We would add a new targeted check for any new failure mode A2/A3 evaluation surfaces, not a broad rewrite.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Deployment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The whole knowledge-base build runs once, offline, as a batch job (scripts/build_index.sh -&gt; make ingest, which calls pipeline.build_knowledge_base()) -- never per user query. Output (page images, FAISS index, chunk metadata, index_stats.json) persists under data/raw/ and data/interim/index/ (both gitignored) and is reused by every later milestone. configs/config.yaml dev.max_pages toggles between a fast local CPU correctness check (a handful of pages) and the real full-corpus build, intended to run unmodified on Kaggle T4x2 GPU with dev.max_pages=0.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Batch/offline keeps A3 user-facing latency to retrieval+rerank only, and running the identical script/config on Kaggle for the real build (just a different dev.max_pages and a GPU runtime) means we are not maintaining two separate pipelines. The cost is that adding a new textbook requires a manual re-run, and CPU-only local runs can only validate a small fraction of the real corpus (Section 5 numbers are from 4 pages, not 2,521). We would move to incremental ingest only if we needed to add documents without a full rebuild.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MLOps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data/versioning.py::snapshot() checksums data/raw/ as the re-ingest trigger, and every real index build writes index_stats.json recording exactly which corpus subset (dev_max_pages), which model checkpoints (OCR/layout/embed model names), and when it was built -- the numbers Section 5 and the notebooks cite all trace back to one of these files, not a hand-transcribed claim.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 checksum trigger plus a logged, diffable build record needs no separate monitoring infrastructure, which fits a 3-person team, and directly supports this form grounding-gate requirement -- every number here has a file it came from. The cost is the extra bookkeeping on every run, even a no-op one. We would move to full experiment tracking (e.g. wandb, already a dependency) only if we started running many parallel model/parameter sweeps rather than one canonical pipeline.</w:t>
            </w:r>
          </w:p>
        </w:tc>
      </w:tr>
    </w:tbl>
    <w:p w:rsidR="00000000" w:rsidDel="00000000" w:rsidP="00000000" w:rsidRDefault="00000000" w:rsidRPr="00000000" w14:paraId="000000A9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Section 8 — How We Worked With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00" w:lineRule="auto"/>
        <w:rPr/>
      </w:pPr>
      <w:r w:rsidDel="00000000" w:rsidR="00000000" w:rsidRPr="00000000">
        <w:rPr>
          <w:rtl w:val="0"/>
        </w:rPr>
        <w:t xml:space="preserve">One transcript per team member. Each member submits one plain-text file named exactly 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&lt;their student number&gt;.txt</w:t>
      </w:r>
      <w:r w:rsidDel="00000000" w:rsidR="00000000" w:rsidRPr="00000000">
        <w:rPr>
          <w:rtl w:val="0"/>
        </w:rPr>
        <w:t xml:space="preserve">, containing the full AI conversation behind the sections they led.</w:t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5960"/>
        <w:tblGridChange w:id="0">
          <w:tblGrid>
            <w:gridCol w:w="3400"/>
            <w:gridCol w:w="59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AB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Each .txt file must contain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AC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 this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Header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member name, student number, sections 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The full conversation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every prompt and every AI reply, unedited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 short reflection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8"/>
                <w:szCs w:val="18"/>
                <w:rtl w:val="0"/>
              </w:rPr>
              <w:t xml:space="preserve">what you accepted, changed, or rejected, and why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Submission — Required Folder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00" w:lineRule="auto"/>
        <w:rPr/>
      </w:pPr>
      <w:r w:rsidDel="00000000" w:rsidR="00000000" w:rsidRPr="00000000">
        <w:rPr>
          <w:rtl w:val="0"/>
        </w:rPr>
        <w:t xml:space="preserve">The autograder enforces this exactly. ZIP named 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A2_&lt;your team id&gt;.zip</w:t>
      </w:r>
      <w:r w:rsidDel="00000000" w:rsidR="00000000" w:rsidRPr="00000000">
        <w:rPr>
          <w:rtl w:val="0"/>
        </w:rPr>
        <w:t xml:space="preserve">, containing:</w:t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800"/>
        <w:gridCol w:w="5560"/>
        <w:tblGridChange w:id="0">
          <w:tblGrid>
            <w:gridCol w:w="3800"/>
            <w:gridCol w:w="55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B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B6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it 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A2_form.docx</w:t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this filled form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src/doc_agent/  (ingest, vision, index)</w:t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the implemented knowledge-base stages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scripts/build_index.sh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builds the vector index (edit the stub)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notebooks/kb_demo.ipynb</w:t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OCR quality + one retrieval example (edit the stub)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reports/pipeline_diagram.md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a diagram of the knowledge-base pipeline (edit the stub)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configs/design_choices.md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updated with Stages 1–4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transcripts/&lt;student number&gt;.txt  ×3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one AI-chat transcript per member</w:t>
            </w:r>
          </w:p>
        </w:tc>
      </w:tr>
    </w:tbl>
    <w:p w:rsidR="00000000" w:rsidDel="00000000" w:rsidP="00000000" w:rsidRDefault="00000000" w:rsidRPr="00000000" w14:paraId="000000C5">
      <w:pPr>
        <w:pStyle w:val="Heading2"/>
        <w:spacing w:after="100" w:before="240" w:lineRule="auto"/>
        <w:rPr/>
      </w:pP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How You'll Be Graded (100 points)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60"/>
        <w:gridCol w:w="2000"/>
        <w:tblGridChange w:id="0">
          <w:tblGrid>
            <w:gridCol w:w="7360"/>
            <w:gridCol w:w="2000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C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Grounding gate: </w:t>
            </w:r>
            <w:r w:rsidDel="00000000" w:rsidR="00000000" w:rsidRPr="00000000">
              <w:rPr>
                <w:rtl w:val="0"/>
              </w:rPr>
              <w:t xml:space="preserve">every claim in the form must match your own code, index, and notebook outputs. Numbers with no notebook evidence score zero for that item.</w:t>
            </w:r>
          </w:p>
        </w:tc>
      </w:tr>
      <w:tr>
        <w:trPr>
          <w:cantSplit w:val="0"/>
          <w:tblHeader w:val="1"/>
        </w:trPr>
        <w:tc>
          <w:tcPr>
            <w:shd w:fill="1f3864" w:val="clear"/>
          </w:tcPr>
          <w:p w:rsidR="00000000" w:rsidDel="00000000" w:rsidP="00000000" w:rsidRDefault="00000000" w:rsidRPr="00000000" w14:paraId="000000C7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we assess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C8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1 — recap accurate and consistent with A1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2 — structure and invariances identified correctly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3 — options compared, with ≥1 reproduced published/pretrained method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4 — knowledge base built; models and parameters justified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5 — real evidence: OCR quality + a working retrieval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6 — a concrete, sensible plan for A3</w:t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7 — eight-facet design table for Stages 1–4</w:t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Section 8 + submission structure correct</w:t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