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2"/>
          <w:szCs w:val="32"/>
        </w:rPr>
        <w:t xml:space="preserve">Assignment 2 — Build Your Knowledge Base</w:t>
      </w:r>
    </w:p>
    <w:p>
      <w:pPr>
        <w:spacing w:after="100"/>
      </w:pPr>
      <w:r>
        <w:rPr>
          <w:i/>
          <w:iCs/>
          <w:color w:val="595959"/>
          <w:sz w:val="18"/>
          <w:szCs w:val="18"/>
        </w:rPr>
        <w:t xml:space="preserve">Team of 3 · Milestone 2 of 4 · Type your answers directly in the blank cells — they grow as you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b/>
                <w:bCs/>
              </w:rPr>
              <w:t xml:space="preserve">Strict compliance: </w:t>
            </w:r>
            <w:r>
              <w:t xml:space="preserve">your submission ZIP must exactly match the folder/file structure on the Submission page. Automated grading rejects anything that doesn't — check before you submit.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Project name</w:t>
            </w:r>
          </w:p>
          <w:p>
            <w:pPr>
              <w:spacing w:after="80"/>
            </w:pPr>
            <w:r>
              <w:rPr>
                <w:i/>
                <w:iCs/>
                <w:color w:val="595959"/>
                <w:sz w:val="18"/>
                <w:szCs w:val="18"/>
              </w:rPr>
              <w:t xml:space="preserve">the same project name you used in Assignment 1</w:t>
            </w:r>
          </w:p>
        </w:tc>
        <w:tc>
          <w:tcPr>
            <w:tcW w:type="dxa" w:w="5860"/>
          </w:tcPr>
          <w:p>
            <w:pPr>
              <w:spacing w:after="80"/>
            </w:pPr>
            <w:r>
              <w:t>ATLAS: Adaptive Textbook-Grounded Learning and Assessment System</w:t>
            </w:r>
          </w:p>
        </w:tc>
      </w:tr>
    </w:tbl>
    <w:p>
      <w:pPr>
        <w:spacing w:after="60" w:before="120"/>
      </w:pPr>
      <w:r>
        <w:rPr>
          <w:b/>
          <w:bCs/>
          <w:sz w:val="22"/>
          <w:szCs w:val="22"/>
        </w:rPr>
        <w:t xml:space="preserve">Team members</w:t>
      </w:r>
    </w:p>
    <w:p>
      <w:pPr>
        <w:spacing w:after="100"/>
      </w:pPr>
      <w:r>
        <w:rPr>
          <w:i/>
          <w:iCs/>
          <w:color w:val="595959"/>
          <w:sz w:val="18"/>
          <w:szCs w:val="18"/>
        </w:rPr>
        <w:t xml:space="preserve">In 'Worked sections', list the sections each member led. Every section must be owned by someone; each member submits the AI-chat behind their own sections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60"/>
        <w:gridCol w:w="2300"/>
      </w:tblGrid>
      <w:tr>
        <w:trPr>
          <w:tblHeader/>
        </w:trPr>
        <w:tc>
          <w:tcPr>
            <w:tcW w:type="dxa" w:w="1700"/>
            <w:shd w:fill="1F3864" w:val="clear"/>
          </w:tcPr>
          <w:p>
            <w:pPr>
              <w:spacing w:after="80"/>
            </w:pPr>
            <w:r>
              <w:rPr>
                <w:b/>
                <w:bCs/>
                <w:color w:val="FFFFFF"/>
              </w:rPr>
              <w:t xml:space="preserve">Team member</w:t>
            </w:r>
          </w:p>
        </w:tc>
        <w:tc>
          <w:tcPr>
            <w:tcW w:type="dxa" w:w="3000"/>
            <w:shd w:fill="1F3864" w:val="clear"/>
          </w:tcPr>
          <w:p>
            <w:pPr>
              <w:spacing w:after="80"/>
            </w:pPr>
            <w:r>
              <w:rPr>
                <w:b/>
                <w:bCs/>
                <w:color w:val="FFFFFF"/>
              </w:rPr>
              <w:t xml:space="preserve">Full name</w:t>
            </w:r>
          </w:p>
        </w:tc>
        <w:tc>
          <w:tcPr>
            <w:tcW w:type="dxa" w:w="2360"/>
            <w:shd w:fill="1F3864" w:val="clear"/>
          </w:tcPr>
          <w:p>
            <w:pPr>
              <w:spacing w:after="80"/>
            </w:pPr>
            <w:r>
              <w:rPr>
                <w:b/>
                <w:bCs/>
                <w:color w:val="FFFFFF"/>
              </w:rPr>
              <w:t xml:space="preserve">Student number</w:t>
            </w:r>
          </w:p>
        </w:tc>
        <w:tc>
          <w:tcPr>
            <w:tcW w:type="dxa" w:w="2300"/>
            <w:shd w:fill="1F3864" w:val="clear"/>
          </w:tcPr>
          <w:p>
            <w:pPr>
              <w:spacing w:after="80"/>
            </w:pPr>
            <w:r>
              <w:rPr>
                <w:b/>
                <w:bCs/>
                <w:color w:val="FFFFFF"/>
              </w:rPr>
              <w:t xml:space="preserve">Worked sections</w:t>
            </w:r>
          </w:p>
        </w:tc>
      </w:tr>
      <w:tr>
        <w:tc>
          <w:tcPr>
            <w:tcW w:type="dxa" w:w="1700"/>
          </w:tcPr>
          <w:p>
            <w:pPr>
              <w:spacing w:after="80"/>
            </w:pPr>
            <w:r>
              <w:t xml:space="preserve">Student 1</w:t>
            </w:r>
          </w:p>
        </w:tc>
        <w:tc>
          <w:tcPr>
            <w:tcW w:type="dxa" w:w="3000"/>
          </w:tcPr>
          <w:p>
            <w:pPr>
              <w:spacing w:after="80"/>
            </w:pPr>
            <w:r>
              <w:t>Sakif Naieb Raiyan</w:t>
            </w:r>
          </w:p>
        </w:tc>
        <w:tc>
          <w:tcPr>
            <w:tcW w:type="dxa" w:w="2360"/>
          </w:tcPr>
          <w:p>
            <w:pPr>
              <w:spacing w:after="80"/>
            </w:pPr>
            <w:r>
              <w:t>2105065</w:t>
            </w:r>
          </w:p>
        </w:tc>
        <w:tc>
          <w:tcPr>
            <w:tcW w:type="dxa" w:w="2300"/>
          </w:tcPr>
          <w:p>
            <w:pPr>
              <w:spacing w:after="80"/>
            </w:pPr>
            <w:r>
              <w:t>3, 4, 5, 7</w:t>
            </w:r>
          </w:p>
        </w:tc>
      </w:tr>
      <w:tr>
        <w:tc>
          <w:tcPr>
            <w:tcW w:type="dxa" w:w="1700"/>
          </w:tcPr>
          <w:p>
            <w:pPr>
              <w:spacing w:after="80"/>
            </w:pPr>
            <w:r>
              <w:t xml:space="preserve">Student 2</w:t>
            </w:r>
          </w:p>
        </w:tc>
        <w:tc>
          <w:tcPr>
            <w:tcW w:type="dxa" w:w="3000"/>
          </w:tcPr>
          <w:p>
            <w:pPr>
              <w:spacing w:after="80"/>
            </w:pPr>
            <w:r>
              <w:t>Sayaad Muzahid Masfi</w:t>
            </w:r>
          </w:p>
        </w:tc>
        <w:tc>
          <w:tcPr>
            <w:tcW w:type="dxa" w:w="2360"/>
          </w:tcPr>
          <w:p>
            <w:pPr>
              <w:spacing w:after="80"/>
            </w:pPr>
            <w:r>
              <w:t>2105066</w:t>
            </w:r>
          </w:p>
        </w:tc>
        <w:tc>
          <w:tcPr>
            <w:tcW w:type="dxa" w:w="2300"/>
          </w:tcPr>
          <w:p>
            <w:pPr>
              <w:spacing w:after="80"/>
            </w:pPr>
            <w:r>
              <w:t>[TEAM: confirm sections led before submitting]</w:t>
            </w:r>
          </w:p>
        </w:tc>
      </w:tr>
      <w:tr>
        <w:tc>
          <w:tcPr>
            <w:tcW w:type="dxa" w:w="1700"/>
          </w:tcPr>
          <w:p>
            <w:pPr>
              <w:spacing w:after="80"/>
            </w:pPr>
            <w:r>
              <w:t xml:space="preserve">Student 3</w:t>
            </w:r>
          </w:p>
        </w:tc>
        <w:tc>
          <w:tcPr>
            <w:tcW w:type="dxa" w:w="3000"/>
          </w:tcPr>
          <w:p>
            <w:pPr>
              <w:spacing w:after="80"/>
            </w:pPr>
            <w:r>
              <w:t>Omar Abdur Razzaque</w:t>
            </w:r>
          </w:p>
        </w:tc>
        <w:tc>
          <w:tcPr>
            <w:tcW w:type="dxa" w:w="2360"/>
          </w:tcPr>
          <w:p>
            <w:pPr>
              <w:spacing w:after="80"/>
            </w:pPr>
            <w:r>
              <w:t>2105094</w:t>
            </w:r>
          </w:p>
        </w:tc>
        <w:tc>
          <w:tcPr>
            <w:tcW w:type="dxa" w:w="2300"/>
          </w:tcPr>
          <w:p>
            <w:pPr>
              <w:spacing w:after="80"/>
            </w:pPr>
            <w:r>
              <w:t>1, 2, 3, 4, 8</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b/>
                <w:bCs/>
              </w:rPr>
              <w:t xml:space="preserve">What this assignment is: </w:t>
            </w:r>
            <w:r>
              <w:t xml:space="preserve">You BUILD the knowledge base — the front half of the pipeline that turns scanned pages into searchable text: ingest &amp; clean the scans, (optionally) enhance them, detect layout, run OCR, then chunk, embed, and index. You choose the models and parameters; the repo fixes where each piece goes. This milestone produces working code and evidence it reads and retrieves.</w:t>
            </w:r>
          </w:p>
          <w:p>
            <w:pPr>
              <w:spacing w:after="60"/>
            </w:pPr>
            <w:r>
              <w:rPr>
                <w:b/>
                <w:bCs/>
              </w:rPr>
              <w:t xml:space="preserve">What to hand in: </w:t>
            </w:r>
            <w:r>
              <w:t xml:space="preserve">Push everything to your team's PUBLIC GitHub repo, then tag it: git add -A &amp;&amp; git commit -m "a2-submit" &amp;&amp; git tag a2-submit &amp;&amp; git push origin main --tags. The tag IS your submission (deadlines are read from GitHub's servers) — do NOT upload a ZIP. Contents: the filled form in forms/, the repo with ingest / vision / index stages implemented, the built index (or a script that builds it), notebooks/kb_demo.ipynb showing OCR quality and one retrieval example, your updated configs/design_choices.md, and one AI-chat transcript per member. ALSO CARRIED FORWARD FROM A1 — the code stub was released after A1, so these are graded here for the first time: configs/task.yaml, data/provenance.md plus your corpus (or scripts/get_data.sh), notebooks/eda.ipynb, grading_kit/manifest.yaml, and grading_kit/heldout_pages/ with labels.jsonl.</w:t>
            </w:r>
          </w:p>
        </w:tc>
      </w:tr>
    </w:tbl>
    <w:p>
      <w:pPr>
        <w:pStyle w:val="Heading2"/>
        <w:spacing w:after="100" w:before="240"/>
      </w:pPr>
      <w:r>
        <w:rPr>
          <w:b/>
          <w:bCs/>
          <w:color w:val="1F3864"/>
          <w:sz w:val="26"/>
          <w:szCs w:val="26"/>
        </w:rPr>
        <w:t xml:space="preserve">Section 1 — Recap from Assignment 1</w:t>
      </w:r>
    </w:p>
    <w:p>
      <w:pPr>
        <w:spacing w:after="100"/>
      </w:pPr>
      <w:r>
        <w:rPr>
          <w:i/>
          <w:iCs/>
          <w:color w:val="595959"/>
          <w:sz w:val="18"/>
          <w:szCs w:val="18"/>
        </w:rPr>
        <w:t xml:space="preserve">Copy these from A1 so this form stands alone. Do NOT change the success metric — your system in A3 is judged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Our three choices (from A1)</w:t>
            </w:r>
          </w:p>
          <w:p>
            <w:pPr>
              <w:spacing w:after="80"/>
            </w:pPr>
            <w:r>
              <w:rPr>
                <w:i/>
                <w:iCs/>
                <w:color w:val="595959"/>
                <w:sz w:val="18"/>
                <w:szCs w:val="18"/>
              </w:rPr>
              <w:t xml:space="preserve">domain · data speciality · primary NFR + target — one line each.</w:t>
            </w:r>
          </w:p>
        </w:tc>
        <w:tc>
          <w:tcPr>
            <w:tcW w:type="dxa" w:w="5860"/>
          </w:tcPr>
          <w:p>
            <w:pPr>
              <w:spacing w:after="80"/>
            </w:pPr>
            <w:r>
              <w:t>Domain: High School STEM Education (Advanced High School &amp; Calculus Mathematics) — curriculum-aligned practice questions, hints and step-by-step worked solutions for A-level/AP mathematics students and STEM tutors.</w:t>
            </w:r>
          </w:p>
          <w:p>
            <w:r>
              <w:t>Data speciality: Math / Scientific Notation — dense fractions, superscript/subscript indices, multi-line aligned derivations, integrals, matrices and geometric diagrams in textbook pages.</w:t>
            </w:r>
          </w:p>
          <w:p>
            <w:r>
              <w:t>Primary NFR + target: Explainable — Grounded Explanation Faithfulness Score &gt;= 0.90 (LLM-judge step verification) with 100% citation traceability (configs/task.yaml: primary_nfr, nfr_target).</w:t>
            </w:r>
          </w:p>
        </w:tc>
      </w:tr>
      <w:tr>
        <w:tc>
          <w:tcPr>
            <w:tcW w:type="dxa" w:w="3500"/>
            <w:shd w:fill="F2F2F2" w:val="clear"/>
          </w:tcPr>
          <w:p>
            <w:pPr>
              <w:spacing w:after="80"/>
            </w:pPr>
            <w:r>
              <w:rPr>
                <w:b/>
                <w:bCs/>
              </w:rPr>
              <w:t xml:space="preserve">Success metric (from A1)</w:t>
            </w:r>
          </w:p>
          <w:p>
            <w:pPr>
              <w:spacing w:after="80"/>
            </w:pPr>
            <w:r>
              <w:rPr>
                <w:i/>
                <w:iCs/>
                <w:color w:val="595959"/>
                <w:sz w:val="18"/>
                <w:szCs w:val="18"/>
              </w:rPr>
              <w:t xml:space="preserve">the single answer-quality metric and target, unchanged.</w:t>
            </w:r>
          </w:p>
        </w:tc>
        <w:tc>
          <w:tcPr>
            <w:tcW w:type="dxa" w:w="5860"/>
          </w:tcPr>
          <w:p>
            <w:pPr>
              <w:spacing w:after="80"/>
            </w:pPr>
            <w:r>
              <w:t>Grounded Explanation Faithfulness Score &gt;= 0.90 (LLM-judge step verification), with Symbolic Step Match Accuracy &gt;= 0.85 as the secondary check, measured against the A1 lazy baseline of naive BM25 top-1 chunk returned verbatim (Answer Math-F1 / Accuracy = 0.35). Unchanged from A1 and frozen in configs/task.yaml.</w:t>
            </w:r>
          </w:p>
        </w:tc>
      </w:tr>
      <w:tr>
        <w:tc>
          <w:tcPr>
            <w:tcW w:type="dxa" w:w="3500"/>
            <w:shd w:fill="F2F2F2" w:val="clear"/>
          </w:tcPr>
          <w:p>
            <w:pPr>
              <w:spacing w:after="80"/>
            </w:pPr>
            <w:r>
              <w:rPr>
                <w:b/>
                <w:bCs/>
              </w:rPr>
              <w:t xml:space="preserve">Our corpus (from A1)</w:t>
            </w:r>
          </w:p>
          <w:p>
            <w:pPr>
              <w:spacing w:after="80"/>
            </w:pPr>
            <w:r>
              <w:rPr>
                <w:i/>
                <w:iCs/>
                <w:color w:val="595959"/>
                <w:sz w:val="18"/>
                <w:szCs w:val="18"/>
              </w:rPr>
              <w:t xml:space="preserve">source, size (pages/words), and the one thing that makes it hard to read.</w:t>
            </w:r>
          </w:p>
        </w:tc>
        <w:tc>
          <w:tcPr>
            <w:tcW w:type="dxa" w:w="5860"/>
          </w:tcPr>
          <w:p>
            <w:pPr>
              <w:spacing w:after="80"/>
            </w:pPr>
            <w:r>
              <w:t>Siyavula Everything Maths Grade 11 &amp; Grade 12 (CC BY) + OpenStax Calculus Volume 1 &amp; Volume 2 (CC BY-NC-SA 4.0) — 4 born-digital PDFs, 2,521 pages, 398.144 MB on disk. Page count is code-verified: notebooks/eda.ipynb reports 529 / 486 / 769 / 737 = 2,521, rendered page count == PDF-reported page count for every book.</w:t>
            </w:r>
          </w:p>
          <w:p>
            <w:r>
              <w:t>Words: A1 reported 744,092. Re-counting the PDF text layer in code at A2 (notebooks/eda.ipynb) gives 573,318 (114,537 / 127,999 / 173,268 / 157,514). We report both rather than quietly restating one: the A1 figure stays frozen in configs/task.yaml as the Section-1 recap, and the code-verified figure is what grading_kit/manifest.yaml carries as A2's current-state manifest. Either clears the &gt;= 60,000-word floor by an order of magnitude. The document-level split re-measures likewise: train (siyavula_gr11 + openstax_calc1) 50.2% of words vs test (siyavula_gr12 + openstax_calc2) 49.8%, against A1's 52.1 / 47.9 estimate — still balanced, still split by whole document with no page shared across splits.</w:t>
            </w:r>
          </w:p>
          <w:p>
            <w:r>
              <w:t>The one thing that makes it hard to read: dense 2-D mathematical notation — fraction bars, superscript/subscript baseline offsets and multi-line aligned derivations that a line-sequential OCR engine flattens into ambiguous linear text.</w:t>
            </w:r>
          </w:p>
        </w:tc>
      </w:tr>
    </w:tbl>
    <w:p>
      <w:pPr>
        <w:pStyle w:val="Heading2"/>
        <w:spacing w:after="100" w:before="240"/>
      </w:pPr>
      <w:r>
        <w:rPr>
          <w:b/>
          <w:bCs/>
          <w:color w:val="1F3864"/>
          <w:sz w:val="26"/>
          <w:szCs w:val="26"/>
        </w:rPr>
        <w:t xml:space="preserve">Section 2 — The Structure We Exploit</w:t>
      </w:r>
    </w:p>
    <w:p>
      <w:pPr>
        <w:spacing w:after="100"/>
      </w:pPr>
      <w:r>
        <w:rPr>
          <w:i/>
          <w:iCs/>
          <w:color w:val="595959"/>
          <w:sz w:val="18"/>
          <w:szCs w:val="18"/>
        </w:rPr>
        <w:t xml:space="preserve">Every model choice is a bet on structure in the data. Name the structure your pipeline relies on, and the things it must 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Structure in the page image</w:t>
            </w:r>
          </w:p>
          <w:p>
            <w:pPr>
              <w:spacing w:after="80"/>
            </w:pPr>
            <w:r>
              <w:rPr>
                <w:i/>
                <w:iCs/>
                <w:color w:val="595959"/>
                <w:sz w:val="18"/>
                <w:szCs w:val="18"/>
              </w:rPr>
              <w:t xml:space="preserve">what a vision model can exploit — nearby pixels form strokes/characters; a character looks the same when shifted. Drives your layout &amp; enhancement choices.</w:t>
            </w:r>
          </w:p>
        </w:tc>
        <w:tc>
          <w:tcPr>
            <w:tcW w:type="dxa" w:w="5860"/>
          </w:tcPr>
          <w:p>
            <w:pPr>
              <w:spacing w:after="80"/>
            </w:pPr>
            <w:r>
              <w:t>A maths textbook page is 2-D, and both levels of that structure are load-bearing for us. At the pixel level the usual convolutional prior holds: neighbouring pixels form strokes and glyphs, and a glyph means the same thing wherever it sits on the page (translation equivariance), which is what makes a pretrained vision detection backbone transfer to our pages at all.</w:t>
            </w:r>
          </w:p>
          <w:p>
            <w:r>
              <w:t>Above the glyph level, spatial arrangement carries meaning that no text model can recover once it is flattened: a horizontal rule between two token groups means numerator-over-denominator; a token lifted off the baseline is an exponent and one dropped below it is an index; a column of vertically aligned '=' signs means 'these lines are one derivation, in this order'.</w:t>
            </w:r>
          </w:p>
          <w:p>
            <w:r>
              <w:t>This is exactly why we detect layout before we read. docling-layout-heron (configs/config.yaml: layout.model, pinned revision) segments each page into typed regions — text, heading/section_header/title, formula, table, list_item, caption, figure — and src/doc_agent/vision/layout.py imposes a deterministic recursive reading order that handles full-width blocks and local columns rather than one global y/x sort (Siyavula is multi-column, OpenStax single-column; a naive sort interleaves two exercise columns into nonsense). The region *type* is then handed to OCR: configs/config.yaml's ocr.prompts sends '&lt;formula&gt;' for formula regions and '&lt;otsl&gt;' for tables, so the reader is told which 2-D convention to expect before it decodes, and figure regions are skipped entirely (ocr.skip_kinds) because there is no text in a parabola sketch to transcribe.</w:t>
            </w:r>
          </w:p>
        </w:tc>
      </w:tr>
      <w:tr>
        <w:tc>
          <w:tcPr>
            <w:tcW w:type="dxa" w:w="3500"/>
            <w:shd w:fill="F2F2F2" w:val="clear"/>
          </w:tcPr>
          <w:p>
            <w:pPr>
              <w:spacing w:after="80"/>
            </w:pPr>
            <w:r>
              <w:rPr>
                <w:b/>
                <w:bCs/>
              </w:rPr>
              <w:t xml:space="preserve">Structure in the text</w:t>
            </w:r>
          </w:p>
          <w:p>
            <w:pPr>
              <w:spacing w:after="80"/>
            </w:pPr>
            <w:r>
              <w:rPr>
                <w:i/>
                <w:iCs/>
                <w:color w:val="595959"/>
                <w:sz w:val="18"/>
                <w:szCs w:val="18"/>
              </w:rPr>
              <w:t xml:space="preserve">what a sequence model can exploit — reading order and context carry meaning; conjuncts/ligatures span characters. Drives your OCR &amp; embedding choices.</w:t>
            </w:r>
          </w:p>
        </w:tc>
        <w:tc>
          <w:tcPr>
            <w:tcW w:type="dxa" w:w="5860"/>
          </w:tcPr>
          <w:p>
            <w:pPr>
              <w:spacing w:after="80"/>
            </w:pPr>
            <w:r>
              <w:t>Two properties of the text matter to us. First, reading order and local context carry the meaning of a worked example: 'Step 2' only means something after 'Step 1', and a bare derivation line is uninterpretable without the heading that introduced it. Second, the retrievable unit has to hold prose and LaTeX in one embedding space, because a student types a plain-English question ('what is the reduction formula?') against a chunk that is mostly notation.</w:t>
            </w:r>
          </w:p>
          <w:p>
            <w:r>
              <w:t>This drives three choices. OCR: granite-docling-2stage-258m is a vision-to-markup model that emits markdown + LaTeX in document order in a single pass, rather than a line-sequential recogniser that would flatten a fraction bar or scramble a multi-line derivation. Chunking: src/doc_agent/index/chunk.py is structure-aware (chunk.strategy=structure_aware) — 384-token windows with 48-token overlap, 64 tokens of enclosing-heading context propagated into each chunk so an isolated derivation still carries its section title, sentence-aware splitting inside prose, and formula/table/code regions declared atomic (chunk.atomic_labels) so a formula is never cut in half. Embedding: BAAI/bge-m3 (1024-d, L2-normalised) embeds the mixed prose+LaTeX chunk as a single sequence, and its long-context tolerance is what lets us use a 384-token chunk at all.</w:t>
            </w:r>
          </w:p>
        </w:tc>
      </w:tr>
      <w:tr>
        <w:tc>
          <w:tcPr>
            <w:tcW w:type="dxa" w:w="3500"/>
            <w:shd w:fill="F2F2F2" w:val="clear"/>
          </w:tcPr>
          <w:p>
            <w:pPr>
              <w:spacing w:after="80"/>
            </w:pPr>
            <w:r>
              <w:rPr>
                <w:b/>
                <w:bCs/>
              </w:rPr>
              <w:t xml:space="preserve">What should NOT change the answer</w:t>
            </w:r>
          </w:p>
          <w:p>
            <w:pPr>
              <w:spacing w:after="80"/>
            </w:pPr>
            <w:r>
              <w:rPr>
                <w:i/>
                <w:iCs/>
                <w:color w:val="595959"/>
                <w:sz w:val="18"/>
                <w:szCs w:val="18"/>
              </w:rPr>
              <w:t xml:space="preserve">variations the system must be robust to — page position, font, mild skew, scan noise, ink bleed. Knowing these points you to the right model and augmentation.</w:t>
            </w:r>
          </w:p>
        </w:tc>
        <w:tc>
          <w:tcPr>
            <w:tcW w:type="dxa" w:w="5860"/>
          </w:tcPr>
          <w:p>
            <w:pPr>
              <w:spacing w:after="80"/>
            </w:pPr>
            <w:r>
              <w:t>Must not change the answer: where a passage sits on the page or which page number it carries; font and typeface; which curriculum's notation convention a page uses (Siyavula/CAPS 'gradient' vs OpenStax 'slope' — A1 flagged this as our likeliest fairness gap); and rasterisation size variation (notebooks/eda.ipynb observes 5 distinct page pixel sizes across the 4 books at a fixed 300 dpi, because the source PDFs have different trim sizes).</w:t>
            </w:r>
          </w:p>
          <w:p>
            <w:r>
              <w:t>The classic scan degradations — rotational skew, speckle, stains, ink bleed, fading — are absent by construction rather than handled: all 4 sources are born-digital PDFs rasterised directly at 300 dpi RGB, and eda.ipynb's render-integrity check reports 0 corrupt/unreadable PNGs across all 2,521 pages with rendered count == PDF-reported count for every book. That measurement, not an assumption, is why preprocess.deskew / denoise / autocontrast / binarize and the whole enhance stage are switched off in configs/config.yaml instead of tuned.</w:t>
            </w:r>
          </w:p>
          <w:p>
            <w:r>
              <w:t>One invariance is internal rather than visual: the layout confidence threshold and dedup settings decide which regions triage into a chunk, but they must never change the transcribed content of a region that is detected either way. We rely on this when we tune layout.score_threshold (Section 5).</w:t>
            </w:r>
          </w:p>
        </w:tc>
      </w:tr>
    </w:tbl>
    <w:p>
      <w:pPr>
        <w:pStyle w:val="Heading2"/>
        <w:spacing w:after="100" w:before="240"/>
      </w:pPr>
      <w:r>
        <w:rPr>
          <w:b/>
          <w:bCs/>
          <w:color w:val="1F3864"/>
          <w:sz w:val="26"/>
          <w:szCs w:val="26"/>
        </w:rPr>
        <w:t xml:space="preserve">Section 3 — Components &amp; Options We Considered</w:t>
      </w:r>
    </w:p>
    <w:p>
      <w:pPr>
        <w:spacing w:after="100"/>
      </w:pPr>
      <w:r>
        <w:t xml:space="preserve">For each stage, name the options you compared and your choice. </w:t>
      </w:r>
      <w:r>
        <w:rPr>
          <w:b/>
          <w:bCs/>
        </w:rPr>
        <w:t xml:space="preserve">At least one choice must be an existing published/pretrained method you reproduce and adapt</w:t>
      </w:r>
      <w:r>
        <w:t xml:space="preserve"> (your OCR foundation is the natural one — reproducing someone else's method is the core skill for adopting whatever comes next). Mark it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3200"/>
        <w:gridCol w:w="1560"/>
      </w:tblGrid>
      <w:tr>
        <w:trPr>
          <w:tblHeader/>
        </w:trPr>
        <w:tc>
          <w:tcPr>
            <w:tcW w:type="dxa" w:w="1700"/>
            <w:shd w:fill="1F3864" w:val="clear"/>
          </w:tcPr>
          <w:p>
            <w:pPr>
              <w:spacing w:after="80"/>
            </w:pPr>
            <w:r>
              <w:rPr>
                <w:b/>
                <w:bCs/>
                <w:color w:val="FFFFFF"/>
              </w:rPr>
              <w:t xml:space="preserve">Stage</w:t>
            </w:r>
          </w:p>
        </w:tc>
        <w:tc>
          <w:tcPr>
            <w:tcW w:type="dxa" w:w="2900"/>
            <w:shd w:fill="1F3864" w:val="clear"/>
          </w:tcPr>
          <w:p>
            <w:pPr>
              <w:spacing w:after="80"/>
            </w:pPr>
            <w:r>
              <w:rPr>
                <w:b/>
                <w:bCs/>
                <w:color w:val="FFFFFF"/>
              </w:rPr>
              <w:t xml:space="preserve">Options we compared</w:t>
            </w:r>
          </w:p>
        </w:tc>
        <w:tc>
          <w:tcPr>
            <w:tcW w:type="dxa" w:w="3200"/>
            <w:shd w:fill="1F3864" w:val="clear"/>
          </w:tcPr>
          <w:p>
            <w:pPr>
              <w:spacing w:after="80"/>
            </w:pPr>
            <w:r>
              <w:rPr>
                <w:b/>
                <w:bCs/>
                <w:color w:val="FFFFFF"/>
              </w:rPr>
              <w:t xml:space="preserve">Our choice + why</w:t>
            </w:r>
          </w:p>
        </w:tc>
        <w:tc>
          <w:tcPr>
            <w:tcW w:type="dxa" w:w="1560"/>
            <w:shd w:fill="1F3864" w:val="clear"/>
          </w:tcPr>
          <w:p>
            <w:pPr>
              <w:spacing w:after="80"/>
            </w:pPr>
            <w:r>
              <w:rPr>
                <w:b/>
                <w:bCs/>
                <w:color w:val="FFFFFF"/>
              </w:rPr>
              <w:t xml:space="preserve">Reproduced? (≥1 yes)</w:t>
            </w:r>
          </w:p>
        </w:tc>
      </w:tr>
      <w:tr>
        <w:tc>
          <w:tcPr>
            <w:tcW w:type="dxa" w:w="1700"/>
          </w:tcPr>
          <w:p>
            <w:pPr>
              <w:spacing w:after="80"/>
            </w:pPr>
            <w:r>
              <w:t xml:space="preserve">Enhancement (bonus)</w:t>
            </w:r>
          </w:p>
        </w:tc>
        <w:tc>
          <w:tcPr>
            <w:tcW w:type="dxa" w:w="2900"/>
          </w:tcPr>
          <w:p>
            <w:pPr>
              <w:spacing w:after="80"/>
            </w:pPr>
            <w:r>
              <w:t>Classical denoise/deskew/binarize vs a trained VAE or diffusion enhancer vs no enhancement at all (measure the scans first, then decide)</w:t>
            </w:r>
          </w:p>
        </w:tc>
        <w:tc>
          <w:tcPr>
            <w:tcW w:type="dxa" w:w="3200"/>
          </w:tcPr>
          <w:p>
            <w:pPr>
              <w:spacing w:after="80"/>
            </w:pPr>
            <w:r>
              <w:t>No enhancement: enhance.enabled=false, and preprocess.deskew / denoise / autocontrast / grayscale / binarize are all false (configs/config.yaml). This is a measured decision, not a skipped one — all 4 sources are born-digital PDFs rasterised directly at 300 dpi RGB by scripts/get_data.sh, and notebooks/eda.ipynb's render-integrity cell reports 0 corrupt/unreadable PNGs with rendered page count == PDF page count for all four books. There is no skew, speckle, stain or fade to repair, and a generative enhancer applied to clean 300 dpi maths would only risk eroding thin strokes (the fraction bars and prime marks our whole speciality depends on). We keep RGB rather than binarising for the same reason.</w:t>
            </w:r>
          </w:p>
        </w:tc>
        <w:tc>
          <w:tcPr>
            <w:tcW w:type="dxa" w:w="1560"/>
          </w:tcPr>
          <w:p>
            <w:pPr>
              <w:spacing w:after="80"/>
            </w:pPr>
            <w:r>
              <w:t>N/A — bonus-tier stage deliberately not built; the justification above is the deliverable.</w:t>
            </w:r>
          </w:p>
        </w:tc>
      </w:tr>
      <w:tr>
        <w:tc>
          <w:tcPr>
            <w:tcW w:type="dxa" w:w="1700"/>
          </w:tcPr>
          <w:p>
            <w:pPr>
              <w:spacing w:after="80"/>
            </w:pPr>
            <w:r>
              <w:t xml:space="preserve">Layout detection</w:t>
            </w:r>
          </w:p>
        </w:tc>
        <w:tc>
          <w:tcPr>
            <w:tcW w:type="dxa" w:w="2900"/>
          </w:tcPr>
          <w:p>
            <w:pPr>
              <w:spacing w:after="80"/>
            </w:pPr>
            <w:r>
              <w:t>One global y/x sort heuristic vs a heuristic reading the source PDF's own structure vs a pretrained document-layout detection model</w:t>
            </w:r>
          </w:p>
        </w:tc>
        <w:tc>
          <w:tcPr>
            <w:tcW w:type="dxa" w:w="3200"/>
          </w:tcPr>
          <w:p>
            <w:pPr>
              <w:spacing w:after="80"/>
            </w:pPr>
            <w:r>
              <w:t>docling-project/docling-layout-heron, pinned to revision 8f39ad3c0b4c58e9c2d2c84a38465abf757272d8 (configs/config.yaml: layout.model / revision). We need *typed* regions, not just text boxes, because the region type is what drives per-type OCR prompting and atomic chunking downstream — a geometric heuristic would throw that signal away. src/doc_agent/vision/layout.py is our work on top of the checkpoint: DocLayNet label mapping onto our Region contract, bbox clamping, cross-kind IoU dedup (dedupe_iou=0.85), page_header/page_footer suppression, and the deterministic recursive reading order that keeps Siyavula's two exercise columns from interleaving.</w:t>
            </w:r>
          </w:p>
        </w:tc>
        <w:tc>
          <w:tcPr>
            <w:tcW w:type="dxa" w:w="1560"/>
          </w:tcPr>
          <w:p>
            <w:pPr>
              <w:spacing w:after="80"/>
            </w:pPr>
            <w:r>
              <w:t>Yes — a published pretrained model reproduced and adapted, then tuned against our own held-out set: score_threshold 0.60 -&gt; 0.75 chosen from a 10-point sweep, documented inline in configs/config.yaml (see Section 5 for the effect).</w:t>
            </w:r>
          </w:p>
        </w:tc>
      </w:tr>
      <w:tr>
        <w:tc>
          <w:tcPr>
            <w:tcW w:type="dxa" w:w="1700"/>
          </w:tcPr>
          <w:p>
            <w:pPr>
              <w:spacing w:after="80"/>
            </w:pPr>
            <w:r>
              <w:t xml:space="preserve">OCR / HTR</w:t>
            </w:r>
          </w:p>
        </w:tc>
        <w:tc>
          <w:tcPr>
            <w:tcW w:type="dxa" w:w="2900"/>
          </w:tcPr>
          <w:p>
            <w:pPr>
              <w:spacing w:after="80"/>
            </w:pPr>
            <w:r>
              <w:t>Tesseract vs TrOCR vs Donut vs Nougat vs LaTeX-OCR vs PaddleOCR-VL vs granite-docling (Docling 2-stage)</w:t>
            </w:r>
          </w:p>
        </w:tc>
        <w:tc>
          <w:tcPr>
            <w:tcW w:type="dxa" w:w="3200"/>
          </w:tcPr>
          <w:p>
            <w:pPr>
              <w:spacing w:after="80"/>
            </w:pPr>
            <w:r>
              <w:t>docling-project/granite-docling-2stage-258m, pinned to revision 12bb780c5b56af33e255c83719394e6d0be2227e. A vision-to-markup reader that emits markdown + LaTeX in document order in one pass, instead of a line-sequential recogniser that flattens a fraction or scrambles a multi-line derivation — precisely the failure A1 named for our speciality. We changed from A1's planned Nougat + LaTeX-OCR pairing for two concrete reasons: (1) granite-docling accepts region-typed prompts ('&lt;formula&gt;', '&lt;otsl&gt;', '&lt;code&gt;') and bbox-guided crops, so Stage 2's layout type can steer Stage 3's decoding — Nougat is page-level and cannot use that; (2) Nougat's characteristic '[MISSING_PAGE_POST]' hallucination and repetition loop is the exact defect A1's own EDA already recorded on openstax_calc1_p0140. The separate LaTeX-OCR fallback was dropped because figure regions are skipped rather than OCR'd, leaving it no target. src/doc_agent/vision/ocr.py adds adaptive per-label token budgets, one guarded retry (repetition_penalty=1.08, no_repeat_ngram_size=4), repetition-loop detection, duplicate-tail repair, stray code-tag stripping, Unicode normalisation and a resumable manifest.</w:t>
            </w:r>
          </w:p>
        </w:tc>
        <w:tc>
          <w:tcPr>
            <w:tcW w:type="dxa" w:w="1560"/>
          </w:tcPr>
          <w:p>
            <w:pPr>
              <w:spacing w:after="80"/>
            </w:pPr>
            <w:r>
              <w:t>Yes — this is our primary reproduced and adapted published pretrained method. Verified on real pages, not asserted: 996 OCR records at a 99.04% usable-region rate, with CER/WER measured against 18 human-verified held-out pages (Section 5).</w:t>
            </w:r>
          </w:p>
        </w:tc>
      </w:tr>
      <w:tr>
        <w:tc>
          <w:tcPr>
            <w:tcW w:type="dxa" w:w="1700"/>
          </w:tcPr>
          <w:p>
            <w:pPr>
              <w:spacing w:after="80"/>
            </w:pPr>
            <w:r>
              <w:t xml:space="preserve">Chunking</w:t>
            </w:r>
          </w:p>
        </w:tc>
        <w:tc>
          <w:tcPr>
            <w:tcW w:type="dxa" w:w="2900"/>
          </w:tcPr>
          <w:p>
            <w:pPr>
              <w:spacing w:after="80"/>
            </w:pPr>
            <w:r>
              <w:t>Fixed-size token windows vs semantic / theorem-boundary regex splitting vs structure-aware chunking driven by the layout labels</w:t>
            </w:r>
          </w:p>
        </w:tc>
        <w:tc>
          <w:tcPr>
            <w:tcW w:type="dxa" w:w="3200"/>
          </w:tcPr>
          <w:p>
            <w:pPr>
              <w:spacing w:after="80"/>
            </w:pPr>
            <w:r>
              <w:t>Structure-aware chunking, src/doc_agent/index/chunk.py (chunk.strategy=structure_aware): chunk_tokens=384, overlap=48, heading_context_tokens=64, heading_labels=[heading, section_header, title], atomic_labels=[formula, table, code], sentence-aware splitting inside prose. Chosen over a plain token window because Stage 2 already tells us what every region *is*, and ignoring that is throwing away the one signal that keeps a derivation intact; chosen over A1's planned theorem-boundary regex because the two curricula use different markdown and heading conventions and one regex would not hold across both. The atomic rule is the part that matters for our speciality: a formula region is emitted whole or not at all.</w:t>
            </w:r>
          </w:p>
        </w:tc>
        <w:tc>
          <w:tcPr>
            <w:tcW w:type="dxa" w:w="1560"/>
          </w:tcPr>
          <w:p>
            <w:pPr>
              <w:spacing w:after="80"/>
            </w:pPr>
            <w:r>
              <w:t>No — rule-based and deterministic, written from scratch (unit-tested for chunk determinism, heading propagation, atomic preservation and overlap).</w:t>
            </w:r>
          </w:p>
        </w:tc>
      </w:tr>
      <w:tr>
        <w:tc>
          <w:tcPr>
            <w:tcW w:type="dxa" w:w="1700"/>
          </w:tcPr>
          <w:p>
            <w:pPr>
              <w:spacing w:after="80"/>
            </w:pPr>
            <w:r>
              <w:t xml:space="preserve">Embedding</w:t>
            </w:r>
          </w:p>
        </w:tc>
        <w:tc>
          <w:tcPr>
            <w:tcW w:type="dxa" w:w="2900"/>
          </w:tcPr>
          <w:p>
            <w:pPr>
              <w:spacing w:after="80"/>
            </w:pPr>
            <w:r>
              <w:t>A general-purpose English sentence embedder (all-mpnet / MiniLM) vs a long-context multilingual embedder vs a maths-specialised encoder we would have to train ourselves</w:t>
            </w:r>
          </w:p>
        </w:tc>
        <w:tc>
          <w:tcPr>
            <w:tcW w:type="dxa" w:w="3200"/>
          </w:tcPr>
          <w:p>
            <w:pPr>
              <w:spacing w:after="80"/>
            </w:pPr>
            <w:r>
              <w:t>BAAI/bge-m3, 1024-d, L2-normalised (configs/config.yaml: embed). Two reasons over a standard 512-token sentence embedder: our chunks are 384 tokens of mixed prose and LaTeX and BGE-M3 handles that length without truncating a derivation, and its retrieval quality out of the box is strong enough that we spend no compute here. A maths-specialised encoder would need labelled maths pairs and a training budget we do not have this milestone, and we would rather spend that budget on OCR, which Section 5 shows is the real bottleneck. Normalising the vectors is what makes FAISS inner product exactly cosine similarity.</w:t>
            </w:r>
          </w:p>
        </w:tc>
        <w:tc>
          <w:tcPr>
            <w:tcW w:type="dxa" w:w="1560"/>
          </w:tcPr>
          <w:p>
            <w:pPr>
              <w:spacing w:after="80"/>
            </w:pPr>
            <w:r>
              <w:t>Yes — pretrained published model used unmodified.</w:t>
            </w:r>
          </w:p>
        </w:tc>
      </w:tr>
      <w:tr>
        <w:tc>
          <w:tcPr>
            <w:tcW w:type="dxa" w:w="1700"/>
          </w:tcPr>
          <w:p>
            <w:pPr>
              <w:spacing w:after="80"/>
            </w:pPr>
            <w:r>
              <w:t xml:space="preserve">Vector index</w:t>
            </w:r>
          </w:p>
        </w:tc>
        <w:tc>
          <w:tcPr>
            <w:tcW w:type="dxa" w:w="2900"/>
          </w:tcPr>
          <w:p>
            <w:pPr>
              <w:spacing w:after="80"/>
            </w:pPr>
            <w:r>
              <w:t>FAISS flat / exact inner product vs HNSW vs IVF-PQ</w:t>
            </w:r>
          </w:p>
        </w:tc>
        <w:tc>
          <w:tcPr>
            <w:tcW w:type="dxa" w:w="3200"/>
          </w:tcPr>
          <w:p>
            <w:pPr>
              <w:spacing w:after="80"/>
            </w:pPr>
            <w:r>
              <w:t>FAISS IndexFlatIP (configs/config.yaml: index.type=faiss:flat_ip) — exact inner-product search over L2-normalised vectors, i.e. exact cosine. At our scale (163 chunks in the current checkpoint, order 10^4-10^5 chunks at full corpus) exact search costs nothing measurable, while HNSW or IVF-PQ would add approximation error and a tuning surface to the one component our Explainable NFR depends on: if retrieval silently misses the supporting chunk, the citation is wrong and no amount of downstream prompting fixes it. We would revisit only if corpus growth made exact search a real latency cost. Persisted as data/index/index.faiss plus data/index/chunks.json, with a load-time assertion that index.ntotal == len(records).</w:t>
            </w:r>
          </w:p>
        </w:tc>
        <w:tc>
          <w:tcPr>
            <w:tcW w:type="dxa" w:w="1560"/>
          </w:tcPr>
          <w:p>
            <w:pPr>
              <w:spacing w:after="80"/>
            </w:pPr>
            <w:r>
              <w:t>N/A — infrastructure choice, not a trained or pretrained method.</w:t>
            </w:r>
          </w:p>
        </w:tc>
      </w:tr>
    </w:tbl>
    <w:p>
      <w:pPr>
        <w:pStyle w:val="Heading2"/>
        <w:spacing w:after="100" w:before="240"/>
      </w:pPr>
      <w:r>
        <w:rPr>
          <w:b/>
          <w:bCs/>
          <w:color w:val="1F3864"/>
          <w:sz w:val="26"/>
          <w:szCs w:val="26"/>
        </w:rPr>
        <w:t xml:space="preserve">Section 4 — The Knowledge Base We Built</w:t>
      </w:r>
    </w:p>
    <w:p>
      <w:pPr>
        <w:spacing w:after="100"/>
      </w:pPr>
      <w:r>
        <w:rPr>
          <w:i/>
          <w:iCs/>
          <w:color w:val="595959"/>
          <w:sz w:val="18"/>
          <w:szCs w:val="18"/>
        </w:rPr>
        <w:t xml:space="preserve">What actually runs. State the model/checkpoint and the key parameters per stage, and whether it's pretrained, fine-tuned, or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360"/>
      </w:tblGrid>
      <w:tr>
        <w:trPr>
          <w:tblHeader/>
        </w:trPr>
        <w:tc>
          <w:tcPr>
            <w:tcW w:type="dxa" w:w="1900"/>
            <w:shd w:fill="1F3864" w:val="clear"/>
          </w:tcPr>
          <w:p>
            <w:pPr>
              <w:spacing w:after="80"/>
            </w:pPr>
            <w:r>
              <w:rPr>
                <w:b/>
                <w:bCs/>
                <w:color w:val="FFFFFF"/>
              </w:rPr>
              <w:t xml:space="preserve">Stage</w:t>
            </w:r>
          </w:p>
        </w:tc>
        <w:tc>
          <w:tcPr>
            <w:tcW w:type="dxa" w:w="2700"/>
            <w:shd w:fill="1F3864" w:val="clear"/>
          </w:tcPr>
          <w:p>
            <w:pPr>
              <w:spacing w:after="80"/>
            </w:pPr>
            <w:r>
              <w:rPr>
                <w:b/>
                <w:bCs/>
                <w:color w:val="FFFFFF"/>
              </w:rPr>
              <w:t xml:space="preserve">Model / checkpoint</w:t>
            </w:r>
          </w:p>
        </w:tc>
        <w:tc>
          <w:tcPr>
            <w:tcW w:type="dxa" w:w="2400"/>
            <w:shd w:fill="1F3864" w:val="clear"/>
          </w:tcPr>
          <w:p>
            <w:pPr>
              <w:spacing w:after="80"/>
            </w:pPr>
            <w:r>
              <w:rPr>
                <w:b/>
                <w:bCs/>
                <w:color w:val="FFFFFF"/>
              </w:rPr>
              <w:t xml:space="preserve">Key parameters</w:t>
            </w:r>
          </w:p>
        </w:tc>
        <w:tc>
          <w:tcPr>
            <w:tcW w:type="dxa" w:w="2360"/>
            <w:shd w:fill="1F3864" w:val="clear"/>
          </w:tcPr>
          <w:p>
            <w:pPr>
              <w:spacing w:after="80"/>
            </w:pPr>
            <w:r>
              <w:rPr>
                <w:b/>
                <w:bCs/>
                <w:color w:val="FFFFFF"/>
              </w:rPr>
              <w:t xml:space="preserve">Pretrained / fine-tuned / scratch</w:t>
            </w:r>
          </w:p>
        </w:tc>
      </w:tr>
      <w:tr>
        <w:tc>
          <w:tcPr>
            <w:tcW w:type="dxa" w:w="1900"/>
          </w:tcPr>
          <w:p>
            <w:pPr>
              <w:spacing w:after="80"/>
            </w:pPr>
            <w:r>
              <w:t xml:space="preserve">Ingest + enhance</w:t>
            </w:r>
          </w:p>
        </w:tc>
        <w:tc>
          <w:tcPr>
            <w:tcW w:type="dxa" w:w="2700"/>
          </w:tcPr>
          <w:p>
            <w:pPr>
              <w:spacing w:after="80"/>
            </w:pPr>
            <w:r>
              <w:t>None — deterministic PyMuPDF rasteriser (scripts/get_data.sh + src/doc_agent/ingest/loader.py). No enhancement model: enhance.enabled=false.</w:t>
            </w:r>
          </w:p>
        </w:tc>
        <w:tc>
          <w:tcPr>
            <w:tcW w:type="dxa" w:w="2400"/>
          </w:tcPr>
          <w:p>
            <w:pPr>
              <w:spacing w:after="80"/>
            </w:pPr>
            <w:r>
              <w:t>300 dpi, RGB, PNG -&gt; data/raw/&lt;book_id&gt;/&lt;page&gt;.png; ingest.overwrite=false; page manifest at data/interim/pages.jsonl. preprocess.enabled=true but every correction (deskew, denoise, autocontrast, grayscale, binarize) is false — it runs as a blank/corrupt page gate only.</w:t>
            </w:r>
          </w:p>
        </w:tc>
        <w:tc>
          <w:tcPr>
            <w:tcW w:type="dxa" w:w="2360"/>
          </w:tcPr>
          <w:p>
            <w:pPr>
              <w:spacing w:after="80"/>
            </w:pPr>
            <w:r>
              <w:t>N/A — not a learned model.</w:t>
            </w:r>
          </w:p>
        </w:tc>
      </w:tr>
      <w:tr>
        <w:tc>
          <w:tcPr>
            <w:tcW w:type="dxa" w:w="1900"/>
          </w:tcPr>
          <w:p>
            <w:pPr>
              <w:spacing w:after="80"/>
            </w:pPr>
            <w:r>
              <w:t xml:space="preserve">Layout</w:t>
            </w:r>
          </w:p>
        </w:tc>
        <w:tc>
          <w:tcPr>
            <w:tcW w:type="dxa" w:w="2700"/>
          </w:tcPr>
          <w:p>
            <w:pPr>
              <w:spacing w:after="80"/>
            </w:pPr>
            <w:r>
              <w:t>docling-project/docling-layout-heron, revision 8f39ad3c0b4c58e9c2d2c84a38465abf757272d8</w:t>
            </w:r>
          </w:p>
        </w:tc>
        <w:tc>
          <w:tcPr>
            <w:tcW w:type="dxa" w:w="2400"/>
          </w:tcPr>
          <w:p>
            <w:pPr>
              <w:spacing w:after="80"/>
            </w:pPr>
            <w:r>
              <w:t>score_threshold=0.75 (raised from 0.60 after a 10-point sweep — Section 5); dedupe_iou=0.85; batch_size=1; device=cuda; ignored_labels=[page_header, page_footer]; regions written to data/interim/layout/regions.jsonl. Measured density on the current build: 14.65 regions/page (996 regions over 68 pages).</w:t>
            </w:r>
          </w:p>
        </w:tc>
        <w:tc>
          <w:tcPr>
            <w:tcW w:type="dxa" w:w="2360"/>
          </w:tcPr>
          <w:p>
            <w:pPr>
              <w:spacing w:after="80"/>
            </w:pPr>
            <w:r>
              <w:t>Pretrained, used as-is (no fine-tuning this milestone). Its one hyperparameter that matters was tuned on our held-out set.</w:t>
            </w:r>
          </w:p>
        </w:tc>
      </w:tr>
      <w:tr>
        <w:tc>
          <w:tcPr>
            <w:tcW w:type="dxa" w:w="1900"/>
          </w:tcPr>
          <w:p>
            <w:pPr>
              <w:spacing w:after="80"/>
            </w:pPr>
            <w:r>
              <w:t xml:space="preserve">OCR / HTR</w:t>
            </w:r>
          </w:p>
        </w:tc>
        <w:tc>
          <w:tcPr>
            <w:tcW w:type="dxa" w:w="2700"/>
          </w:tcPr>
          <w:p>
            <w:pPr>
              <w:spacing w:after="80"/>
            </w:pPr>
            <w:r>
              <w:t>docling-project/granite-docling-2stage-258m, revision 12bb780c5b56af33e255c83719394e6d0be2227e</w:t>
            </w:r>
          </w:p>
        </w:tc>
        <w:tc>
          <w:tcPr>
            <w:tcW w:type="dxa" w:w="2400"/>
          </w:tcPr>
          <w:p>
            <w:pPr>
              <w:spacing w:after="80"/>
            </w:pPr>
            <w:r>
              <w:t>quality_profile=adaptive_bbox_retry_v2; max_new_tokens=384, min_new_tokens=24 with per-label budgets (heading/section_header/title 64, caption/list_item 192, formula 224, table 384, code 256, text 256, default 192); crop_padding=12, min_crop_height=96, location_scale=500; region-typed prompts ('&lt;formula&gt;', '&lt;otsl&gt;', '&lt;code&gt;', default 'Convert this page to docling.'); max_retries=1 with retry_repetition_penalty=1.08 and retry_no_repeat_ngram_size=4; skip_kinds=[figure]; empty_cache_every=8; resumable manifest at data/interim/ocr/chunks.jsonl.</w:t>
            </w:r>
          </w:p>
        </w:tc>
        <w:tc>
          <w:tcPr>
            <w:tcW w:type="dxa" w:w="2360"/>
          </w:tcPr>
          <w:p>
            <w:pPr>
              <w:spacing w:after="80"/>
            </w:pPr>
            <w:r>
              <w:t>Pretrained, inference only — no project-specific fine-tuning this milestone (that is the obvious A3 lever given the CER/WER in Section 5).</w:t>
            </w:r>
          </w:p>
        </w:tc>
      </w:tr>
      <w:tr>
        <w:tc>
          <w:tcPr>
            <w:tcW w:type="dxa" w:w="1900"/>
          </w:tcPr>
          <w:p>
            <w:pPr>
              <w:spacing w:after="80"/>
            </w:pPr>
            <w:r>
              <w:t xml:space="preserve">Chunk</w:t>
            </w:r>
          </w:p>
        </w:tc>
        <w:tc>
          <w:tcPr>
            <w:tcW w:type="dxa" w:w="2700"/>
          </w:tcPr>
          <w:p>
            <w:pPr>
              <w:spacing w:after="80"/>
            </w:pPr>
            <w:r>
              <w:t>None — deterministic structure-aware splitter, src/doc_agent/index/chunk.py.</w:t>
            </w:r>
          </w:p>
        </w:tc>
        <w:tc>
          <w:tcPr>
            <w:tcW w:type="dxa" w:w="2400"/>
          </w:tcPr>
          <w:p>
            <w:pPr>
              <w:spacing w:after="80"/>
            </w:pPr>
            <w:r>
              <w:t>strategy=structure_aware; chunk_tokens=384; overlap=48; heading_context_tokens=64; heading_labels=[heading, section_header, title]; atomic_labels=[formula, table, code]; output at data/interim/chunks/chunks.jsonl. Each chunk keeps chunk_id, doc_id, page_ids and source-region provenance.</w:t>
            </w:r>
          </w:p>
        </w:tc>
        <w:tc>
          <w:tcPr>
            <w:tcW w:type="dxa" w:w="2360"/>
          </w:tcPr>
          <w:p>
            <w:pPr>
              <w:spacing w:after="80"/>
            </w:pPr>
            <w:r>
              <w:t>From scratch (rule-based, deterministic).</w:t>
            </w:r>
          </w:p>
        </w:tc>
      </w:tr>
      <w:tr>
        <w:tc>
          <w:tcPr>
            <w:tcW w:type="dxa" w:w="1900"/>
          </w:tcPr>
          <w:p>
            <w:pPr>
              <w:spacing w:after="80"/>
            </w:pPr>
            <w:r>
              <w:t xml:space="preserve">Embed</w:t>
            </w:r>
          </w:p>
        </w:tc>
        <w:tc>
          <w:tcPr>
            <w:tcW w:type="dxa" w:w="2700"/>
          </w:tcPr>
          <w:p>
            <w:pPr>
              <w:spacing w:after="80"/>
            </w:pPr>
            <w:r>
              <w:t>BAAI/bge-m3</w:t>
            </w:r>
          </w:p>
        </w:tc>
        <w:tc>
          <w:tcPr>
            <w:tcW w:type="dxa" w:w="2400"/>
          </w:tcPr>
          <w:p>
            <w:pPr>
              <w:spacing w:after="80"/>
            </w:pPr>
            <w:r>
              <w:t>dim=1024; normalize=true (L2, so inner product == cosine); device=cuda with an automatic CPU fallback when CUDA is unavailable (index/embed.py::_resolve_device); embedding shape and finiteness validated on encode.</w:t>
            </w:r>
          </w:p>
        </w:tc>
        <w:tc>
          <w:tcPr>
            <w:tcW w:type="dxa" w:w="2360"/>
          </w:tcPr>
          <w:p>
            <w:pPr>
              <w:spacing w:after="80"/>
            </w:pPr>
            <w:r>
              <w:t>Pretrained, unmodified.</w:t>
            </w:r>
          </w:p>
        </w:tc>
      </w:tr>
      <w:tr>
        <w:tc>
          <w:tcPr>
            <w:tcW w:type="dxa" w:w="1900"/>
          </w:tcPr>
          <w:p>
            <w:pPr>
              <w:spacing w:after="80"/>
            </w:pPr>
            <w:r>
              <w:t xml:space="preserve">Index</w:t>
            </w:r>
          </w:p>
        </w:tc>
        <w:tc>
          <w:tcPr>
            <w:tcW w:type="dxa" w:w="2700"/>
          </w:tcPr>
          <w:p>
            <w:pPr>
              <w:spacing w:after="80"/>
            </w:pPr>
            <w:r>
              <w:t>FAISS IndexFlatIP</w:t>
            </w:r>
          </w:p>
        </w:tc>
        <w:tc>
          <w:tcPr>
            <w:tcW w:type="dxa" w:w="2400"/>
          </w:tcPr>
          <w:p>
            <w:pPr>
              <w:spacing w:after="80"/>
            </w:pPr>
            <w:r>
              <w:t>index.type=faiss:flat_ip; exact inner-product search over normalised vectors. Persisted to data/index/index.faiss (667,693 bytes) and data/index/chunks.json; index.ntotal == len(records) asserted at load. Current build: 163 vectors x 1024 dims.</w:t>
            </w:r>
          </w:p>
        </w:tc>
        <w:tc>
          <w:tcPr>
            <w:tcW w:type="dxa" w:w="2360"/>
          </w:tcPr>
          <w:p>
            <w:pPr>
              <w:spacing w:after="80"/>
            </w:pPr>
            <w:r>
              <w:t>N/A — not a learned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The pipeline in one line</w:t>
            </w:r>
          </w:p>
          <w:p>
            <w:pPr>
              <w:spacing w:after="80"/>
            </w:pPr>
            <w:r>
              <w:rPr>
                <w:i/>
                <w:iCs/>
                <w:color w:val="595959"/>
                <w:sz w:val="18"/>
                <w:szCs w:val="18"/>
              </w:rPr>
              <w:t xml:space="preserve">pages → clean → (enhance) → layout → OCR → chunk → embed → store. Note anything you changed from the default.</w:t>
            </w:r>
          </w:p>
        </w:tc>
        <w:tc>
          <w:tcPr>
            <w:tcW w:type="dxa" w:w="5860"/>
          </w:tcPr>
          <w:p>
            <w:pPr>
              <w:spacing w:after="80"/>
            </w:pPr>
            <w:r>
              <w:t>data/raw/&lt;book&gt;/&lt;page&gt;.png -&gt; [Stage 1 ingest: PyMuPDF rasterise @300 dpi RGB, blank/corrupt gate, data/interim/pages.jsonl] -&gt; [enhance: SKIPPED, enhance.enabled=false] -&gt; [Stage 2 layout: docling-layout-heron, typed regions + recursive reading order, regions.jsonl] -&gt; [Stage 3 OCR: granite-docling-2stage-258m, region-typed prompts, markdown+LaTeX, figure regions skipped, ocr/chunks.jsonl] -&gt; [AFTER_OCR seam: governance/pii.py redaction, wired through hooks.py / wiring.py] -&gt; [Stage 4A chunk: structure-aware 384/48, heading context, atomic formulas] -&gt; [Stage 4B embed: BGE-M3, 1024-d, L2-normalised] -&gt; [Stage 4C store: FAISS IndexFlatIP -&gt; data/index/].</w:t>
            </w:r>
          </w:p>
          <w:p>
            <w:r>
              <w:t>Changed from the default / from our A1 plan: layout moved from LayoutParser+PubLayNet to docling-layout-heron; OCR moved from Nougat + a LaTeX-OCR fallback to granite-docling-2stage-258m as the single reader (figure regions are skipped, not OCR'd, so the second model had no target); chunking moved from a theorem-boundary regex to layout-label-driven structure-aware chunking. PII redaction is wired as a cross-cutting seam after OCR rather than inlined into any one stage, so no stage owns privacy on its own.</w:t>
            </w:r>
          </w:p>
        </w:tc>
      </w:tr>
    </w:tbl>
    <w:p>
      <w:pPr>
        <w:pStyle w:val="Heading2"/>
        <w:spacing w:after="100" w:before="240"/>
      </w:pPr>
      <w:r>
        <w:rPr>
          <w:b/>
          <w:bCs/>
          <w:color w:val="1F3864"/>
          <w:sz w:val="26"/>
          <w:szCs w:val="26"/>
        </w:rPr>
        <w:t xml:space="preserve">Section 5 — Evidence It Works</w:t>
      </w:r>
    </w:p>
    <w:p>
      <w:pPr>
        <w:spacing w:after="100"/>
      </w:pPr>
      <w:r>
        <w:rPr>
          <w:i/>
          <w:iCs/>
          <w:color w:val="595959"/>
          <w:sz w:val="18"/>
          <w:szCs w:val="18"/>
        </w:rPr>
        <w:t xml:space="preserve">A build milestone needs proof, not promises. Show real numbers and one real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OCR quality on a sample</w:t>
            </w:r>
          </w:p>
          <w:p>
            <w:pPr>
              <w:spacing w:after="80"/>
            </w:pPr>
            <w:r>
              <w:rPr>
                <w:i/>
                <w:iCs/>
                <w:color w:val="595959"/>
                <w:sz w:val="18"/>
                <w:szCs w:val="18"/>
              </w:rPr>
              <w:t xml:space="preserve">measure reading quality on a labelled sample (character/word error rate, or F1). State the number and the sample size.</w:t>
            </w:r>
          </w:p>
        </w:tc>
        <w:tc>
          <w:tcPr>
            <w:tcW w:type="dxa" w:w="5860"/>
          </w:tcPr>
          <w:p>
            <w:pPr>
              <w:spacing w:after="80"/>
            </w:pPr>
            <w:r>
              <w:t>Measured in notebooks/kb_demo.ipynb against grading_kit/labels.jsonl — 18 of 18 held-out pages (29,211 reference characters), spread across all four books (siyavula_gr11 5, siyavula_gr12 5, openstax_calc1 4, openstax_calc2 4), transcribed by us, human-verified against the page images, and never used to tune OCR.</w:t>
            </w:r>
          </w:p>
          <w:p>
            <w:r>
              <w:t>- Raw CER 49.69%, raw WER 95.84% (strict character / word diff).</w:t>
            </w:r>
          </w:p>
          <w:p>
            <w:r>
              <w:t>- Formatting-normalised CER 45.94%, WER 70.39% — the identical normalisation applied to both reference and hypothesis (Markdown bold markers, bullet-character variants, whitespace inside LaTeX structure such as 'x ^ { 2 }' -&gt; 'x^{2}', collapsed blank lines).</w:t>
            </w:r>
          </w:p>
          <w:p>
            <w:r>
              <w:t>- OCR pipeline health on the same build: 996 OCR records, 934 non-skipped, 925 usable -&gt; 99.04% usable-region rate, 9 rejected.</w:t>
            </w:r>
          </w:p>
          <w:p>
            <w:r>
              <w:t>Both error numbers are reported and neither replaces the other: the ~4-point CER and ~25-point WER gap between them is the share of raw error that is cosmetic formatting divergence rather than genuine misreading. These figures are honest rather than flattering — reading quality on dense mathematics is the main thing A3 has to improve, and Section 6 plans for it.</w:t>
            </w:r>
          </w:p>
        </w:tc>
      </w:tr>
      <w:tr>
        <w:tc>
          <w:tcPr>
            <w:tcW w:type="dxa" w:w="3500"/>
            <w:shd w:fill="F2F2F2" w:val="clear"/>
          </w:tcPr>
          <w:p>
            <w:pPr>
              <w:spacing w:after="80"/>
            </w:pPr>
            <w:r>
              <w:rPr>
                <w:b/>
                <w:bCs/>
              </w:rPr>
              <w:t xml:space="preserve">Index statistics</w:t>
            </w:r>
          </w:p>
          <w:p>
            <w:pPr>
              <w:spacing w:after="80"/>
            </w:pPr>
            <w:r>
              <w:rPr>
                <w:i/>
                <w:iCs/>
                <w:color w:val="595959"/>
                <w:sz w:val="18"/>
                <w:szCs w:val="18"/>
              </w:rPr>
              <w:t xml:space="preserve">chunks indexed, embedding dimension, index type, corpus coverage (pages/words indexed vs total).</w:t>
            </w:r>
          </w:p>
        </w:tc>
        <w:tc>
          <w:tcPr>
            <w:tcW w:type="dxa" w:w="5860"/>
          </w:tcPr>
          <w:p>
            <w:pPr>
              <w:spacing w:after="80"/>
            </w:pPr>
            <w:r>
              <w:t>From the persisted artefacts data/index/chunks.json and data/index/index.faiss, loaded live in notebooks/kb_demo.ipynb (which asserts index.ntotal == len(records) before reporting anything):</w:t>
            </w:r>
          </w:p>
          <w:p>
            <w:r>
              <w:t>- 163 chunks indexed; embedding dimension 1024 (BAAI/bge-m3, L2-normalised); index type FAISS IndexFlatIP (exact cosine); index file 667,693 bytes.</w:t>
            </w:r>
          </w:p>
          <w:p>
            <w:r>
              <w:t>- Coverage: 64 distinct pages — all 18 grading_kit/heldout_pages, plus 46 pages of the 50-page 'sample50' development checkpoint (the first 50 pages of OpenStax Calculus Vol. 1, deliberately carried under its own doc_id so it can never be mistaken for one of the four declared books).</w:t>
            </w:r>
          </w:p>
          <w:p>
            <w:r>
              <w:t>- Against the full corpus: Stage 1 (ingest) is COMPLETE at 2,521 / 2,521 pages across all four books — verified in the notebook against data/raw/manifest.jsonl rather than asserted. Stages 2-4 stop at this 68-page checkpoint for a measured reason: the same notebook extrapolates the full-corpus cost from this build's own rate (14.65 regions/page, 1,831 s of OCR for 996 regions) to roughly 18.9 h of OCR plus 0.2 h of layout — about 19 h on the single 8 GB consumer GPU used for development. scripts/build_index.sh runs the identical, already-verified code path at full scale, so the build is reproducible by an evaluator with more GPU time than we had.</w:t>
            </w:r>
          </w:p>
        </w:tc>
      </w:tr>
      <w:tr>
        <w:tc>
          <w:tcPr>
            <w:tcW w:type="dxa" w:w="3500"/>
            <w:shd w:fill="F2F2F2" w:val="clear"/>
          </w:tcPr>
          <w:p>
            <w:pPr>
              <w:spacing w:after="80"/>
            </w:pPr>
            <w:r>
              <w:rPr>
                <w:b/>
                <w:bCs/>
              </w:rPr>
              <w:t xml:space="preserve">One retrieval example</w:t>
            </w:r>
          </w:p>
          <w:p>
            <w:pPr>
              <w:spacing w:after="80"/>
            </w:pPr>
            <w:r>
              <w:rPr>
                <w:i/>
                <w:iCs/>
                <w:color w:val="595959"/>
                <w:sz w:val="18"/>
                <w:szCs w:val="18"/>
              </w:rPr>
              <w:t xml:space="preserve">a real query, the top chunk returned, and whether it's the right page. Show one that worked.</w:t>
            </w:r>
          </w:p>
        </w:tc>
        <w:tc>
          <w:tcPr>
            <w:tcW w:type="dxa" w:w="5860"/>
          </w:tcPr>
          <w:p>
            <w:pPr>
              <w:spacing w:after="80"/>
            </w:pPr>
            <w:r>
              <w:t>Executed live in notebooks/kb_demo.ipynb against the persisted FAISS index using the project's own encoder (index/embed.py::encode, BGE-M3 on cuda) and index/store.py::load — a real search, not a mock.</w:t>
            </w:r>
          </w:p>
          <w:p>
            <w:r>
              <w:t>Query: 'EXAMPLE 2.15 \[\text {Using Limit Laws} \, \text {Repeatedly}\] To find this limit, we need to apply the'</w:t>
            </w:r>
          </w:p>
          <w:p>
            <w:r>
              <w:t>- #1  score 0.8160  chunk openstax_calc1_c00000_d95a59d945e2  pages ['openstax_calc1_p0150'] — the right page: OpenStax Calculus Vol. 1, printed page 142, the Example 2.15 limit-law derivation.</w:t>
            </w:r>
          </w:p>
          <w:p>
            <w:r>
              <w:t>- #2  score 0.7860  openstax_calc1_c00001_936eea2c4664 — same page, the continuation of the same derivation ('Apply the quotient law... sum law... power law').</w:t>
            </w:r>
          </w:p>
          <w:p>
            <w:r>
              <w:t>- #3  score 0.6479  openstax_calc2_c00005_89fbc0d1b36b — a different book, correctly ranked below both same-page chunks.</w:t>
            </w:r>
          </w:p>
          <w:p>
            <w:r>
              <w:t>The neighbourhood is right as well as the top hit: the two best results are the two halves of one worked example, which is what the structure-aware chunker is supposed to produce.</w:t>
            </w:r>
          </w:p>
          <w:p>
            <w:r>
              <w:t>Stated limitation, so the claim is not read as more than it is: this query is built from the first 18 words of the first persisted chunk, so it is a self-retrieval smoke test. It proves the embed -&gt; index -&gt; search path works end to end and returns correct page provenance; it is not a held-out natural-language user query. Retrieval quality proper — recall@k over an authored task suite — is A3's deliverable (Section 6).</w:t>
            </w:r>
          </w:p>
        </w:tc>
      </w:tr>
      <w:tr>
        <w:tc>
          <w:tcPr>
            <w:tcW w:type="dxa" w:w="3500"/>
            <w:shd w:fill="F2F2F2" w:val="clear"/>
          </w:tcPr>
          <w:p>
            <w:pPr>
              <w:spacing w:after="80"/>
            </w:pPr>
            <w:r>
              <w:rPr>
                <w:b/>
                <w:bCs/>
              </w:rPr>
              <w:t xml:space="preserve">The worst failure we saw</w:t>
            </w:r>
          </w:p>
          <w:p>
            <w:pPr>
              <w:spacing w:after="80"/>
            </w:pPr>
            <w:r>
              <w:rPr>
                <w:i/>
                <w:iCs/>
                <w:color w:val="595959"/>
                <w:sz w:val="18"/>
                <w:szCs w:val="18"/>
              </w:rPr>
              <w:t xml:space="preserve">where reading or retrieval failed badly, and your read on why (honest — this shapes A3).</w:t>
            </w:r>
          </w:p>
        </w:tc>
        <w:tc>
          <w:tcPr>
            <w:tcW w:type="dxa" w:w="5860"/>
          </w:tcPr>
          <w:p>
            <w:pPr>
              <w:spacing w:after="80"/>
            </w:pPr>
            <w:r>
              <w:t>Spot-checking held-out page siyavula_gr11_p0080 exposed two genuine defects — not formatting noise — which we diagnosed, fixed, and then measured.</w:t>
            </w:r>
          </w:p>
          <w:p>
            <w:r>
              <w:t>(a) Layout over-segmentation, and it was the dominant problem. vision/layout.py's region dedup only compared candidates of the *same* predicted kind, so one identical bounding box detected once as 'heading' and once as 'text' survived and was sent to OCR twice. More broadly, the detector at score_threshold=0.60 emitted overlapping and nested boxes around the same content — on one page a single sentence was detected three separate times. The accuracy problem was therefore in layout, not in OCR decoding, which is why every OCR-side remedy we tried first (extra retries, higher repetition penalty, prompt rewording) was neutral or actively harmful.</w:t>
            </w:r>
          </w:p>
          <w:p>
            <w:r>
              <w:t>(b) The reader occasionally hallucinated a stray code-block language tag ('&lt;_SQL_&gt;', '&lt;_YAML_&gt;') in front of short bold headers.</w:t>
            </w:r>
          </w:p>
          <w:p>
            <w:r>
              <w:t>Fix and effect: cross-kind IoU dedup plus stray-tag stripping, and layout.score_threshold 0.60 -&gt; 0.75 chosen from a 10-point sweep (0.60 / 0.65 / 0.70 / 0.72 / 0.75 / 0.77 / 0.80 / 0.85 / 0.90), documented inline in configs/config.yaml. Normalised WER fell 95.27% -&gt; 70.44% and normalised CER 47.57% -&gt; 45.99%. We checked this was not just discarding real content: total hypothesis words stayed well above total reference words after the change (no under-detection), and 0 of 996 regions retain a stray tag or an exact-duplicate bbox.</w:t>
            </w:r>
          </w:p>
          <w:p>
            <w:r>
              <w:t>What is still wrong, and why it shapes A3: even after the fix, ~46% CER / ~70% WER on dense mathematics is not citation-grade. The residual error concentrates in headings, structural markup and long derivations, and a mis-transcribed formula fails silently — retrieval returns the correct page and the answer is still wrong. That is the direct threat to our Explainable NFR, and Section 6 treats it as the primary risk.</w:t>
            </w:r>
          </w:p>
        </w:tc>
      </w:tr>
    </w:tbl>
    <w:p>
      <w:pPr>
        <w:pStyle w:val="Heading2"/>
        <w:spacing w:after="100" w:before="240"/>
      </w:pPr>
      <w:r>
        <w:rPr>
          <w:b/>
          <w:bCs/>
          <w:color w:val="1F3864"/>
          <w:sz w:val="26"/>
          <w:szCs w:val="26"/>
        </w:rPr>
        <w:t xml:space="preserve">Section 6 — The Plan for A3</w:t>
      </w:r>
    </w:p>
    <w:p>
      <w:pPr>
        <w:spacing w:after="100"/>
      </w:pPr>
      <w:r>
        <w:rPr>
          <w:i/>
          <w:iCs/>
          <w:color w:val="595959"/>
          <w:sz w:val="18"/>
          <w:szCs w:val="18"/>
        </w:rPr>
        <w:t xml:space="preserve">What's left: turn the knowledge base into an answering agent, then evaluate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What we'll build next</w:t>
            </w:r>
          </w:p>
          <w:p>
            <w:pPr>
              <w:spacing w:after="80"/>
            </w:pPr>
            <w:r>
              <w:rPr>
                <w:i/>
                <w:iCs/>
                <w:color w:val="595959"/>
                <w:sz w:val="18"/>
                <w:szCs w:val="18"/>
              </w:rPr>
              <w:t xml:space="preserve">retrieval + rerank, the agent loop + tools, guardrails/HITL, grounding, evaluation — and RL/RLVR if you attempt the bonus.</w:t>
            </w:r>
          </w:p>
          <w:p>
            <w:r>
              <w:t xml:space="preserve">Carry the agent forward: in A3 it must do evidence-gated re-search (widen k on weak evidence, abstain at k_max) — the mandatory agentic behaviour, graded fail-closed in A3.</w:t>
            </w:r>
          </w:p>
        </w:tc>
        <w:tc>
          <w:tcPr>
            <w:tcW w:type="dxa" w:w="5860"/>
          </w:tcPr>
          <w:p>
            <w:pPr>
              <w:spacing w:after="80"/>
            </w:pPr>
            <w:r>
              <w:t>Stage 5 — retrieval + rerank over the persisted FAISS index, with the cross-encoder already declared in configs/config.yaml (retrieve.rerank=true, reranker BAAI/bge-reranker-v2-m3).</w:t>
            </w:r>
          </w:p>
          <w:p>
            <w:r>
              <w:t>Stage 6 — the agent loop over the fixed nine-tool interface in src/doc_agent/agent/tools.py. The mandatory evidence-gated re-search goes in agent/agent.py::decide(), and its parameters are already declared (retrieve.k=10, k_step=10, k_max=40, weak_threshold=0.35): when the top retrieval score falls below weak_threshold, widen k by k_step and retrieve again; abstain once k reaches k_max. We will author the matched {needs_research: true} / {needs_research: false} pair in grading_kit/tasks.jsonl and emit the machine-readable trajectory to traces/run.jsonl, so the A3 agentic gate can confirm re-search fires on the trigger and that the control runs in a single pass. We are treating this as fail-closed and building it first, not last.</w:t>
            </w:r>
          </w:p>
          <w:p>
            <w:r>
              <w:t>Grounding and our Explainable NFR — the citation/grounding check in llm/postprocess.py on the BEFORE_ANSWER seam, a plain-language reason logged per agent step (agent.autonomy=act-with-approval, max_steps=8, budget_usd=0.05), retrieval-score attribution in eval/interpret.py, and grading_kit/success_check.py implemented as the per-task verifier.</w:t>
            </w:r>
          </w:p>
          <w:p>
            <w:r>
              <w:t>Evaluation — eval/metrics.py for recall@k plus the LLM-judge faithfulness score against the A1 target of &gt;= 0.90. OCR remediation (below) runs in parallel. RL/RLVR only if time remains: it is bonus tier and our marginal hour is worth more spent on transcription accuracy.</w:t>
            </w:r>
          </w:p>
        </w:tc>
      </w:tr>
      <w:tr>
        <w:tc>
          <w:tcPr>
            <w:tcW w:type="dxa" w:w="3500"/>
            <w:shd w:fill="F2F2F2" w:val="clear"/>
          </w:tcPr>
          <w:p>
            <w:pPr>
              <w:spacing w:after="80"/>
            </w:pPr>
            <w:r>
              <w:rPr>
                <w:b/>
                <w:bCs/>
              </w:rPr>
              <w:t xml:space="preserve">Our evaluation set</w:t>
            </w:r>
          </w:p>
          <w:p>
            <w:pPr>
              <w:spacing w:after="80"/>
            </w:pPr>
            <w:r>
              <w:rPr>
                <w:i/>
                <w:iCs/>
                <w:color w:val="595959"/>
                <w:sz w:val="18"/>
                <w:szCs w:val="18"/>
              </w:rPr>
              <w:t xml:space="preserve">how you'll write tasks.jsonl for YOUR domain — the questions your real user would ask; include enough checkable (verifiable) items and abstention cases.</w:t>
            </w:r>
          </w:p>
        </w:tc>
        <w:tc>
          <w:tcPr>
            <w:tcW w:type="dxa" w:w="5860"/>
          </w:tcPr>
          <w:p>
            <w:pPr>
              <w:spacing w:after="80"/>
            </w:pPr>
            <w:r>
              <w:t>grading_kit/tasks.jsonl will be authored from our own corpus — the questions an A-level/AP student or a tutor actually asks — in four deliberate groups:</w:t>
            </w:r>
          </w:p>
          <w:p>
            <w:r>
              <w:t>- Verifiable items with a single checkable answer (a formula, a numeric result, a theorem name, an exact quote), taken from end-of-chapter exercises and worked examples on our 18 labelled held-out pages, so the gold answer is read out of grading_kit/labels.jsonl rather than invented. These anchor mechanical grading and would give RLVR a clean reward if we attempt it.</w:t>
            </w:r>
          </w:p>
          <w:p>
            <w:r>
              <w:t>- Judged items (explain this step, compare two solution methods, why does this theorem apply here) scored by LLM-judge against our stated faithfulness rubric — these are what the Explainable NFR is actually about, and a bare exact-match score cannot measure them.</w:t>
            </w:r>
          </w:p>
          <w:p>
            <w:r>
              <w:t>- Abstention items deliberately outside the corpus (differential equations, linear algebra — topics none of our four books cover), whose correct answer is 'insufficient evidence'.</w:t>
            </w:r>
          </w:p>
          <w:p>
            <w:r>
              <w:t>- The mandatory matched pair: one needs_research=true item whose answer is not on the top chunk, and its needs_research=false control.</w:t>
            </w:r>
          </w:p>
          <w:p>
            <w:r>
              <w:t>Because the 18 held-out pages already carry human-verified transcriptions, every verifiable item's gold span is directly citable to a page id — which is also what makes the citation-traceability half of our NFR target checkable rather than rhetorical.</w:t>
            </w:r>
          </w:p>
        </w:tc>
      </w:tr>
      <w:tr>
        <w:tc>
          <w:tcPr>
            <w:tcW w:type="dxa" w:w="3500"/>
            <w:shd w:fill="F2F2F2" w:val="clear"/>
          </w:tcPr>
          <w:p>
            <w:pPr>
              <w:spacing w:after="80"/>
            </w:pPr>
            <w:r>
              <w:rPr>
                <w:b/>
                <w:bCs/>
              </w:rPr>
              <w:t xml:space="preserve">Biggest risk / unknown</w:t>
            </w:r>
          </w:p>
          <w:p>
            <w:pPr>
              <w:spacing w:after="80"/>
            </w:pPr>
            <w:r>
              <w:rPr>
                <w:i/>
                <w:iCs/>
                <w:color w:val="595959"/>
                <w:sz w:val="18"/>
                <w:szCs w:val="18"/>
              </w:rPr>
              <w:t xml:space="preserve">the thing most likely to break in A3, and your first idea to handle it.</w:t>
            </w:r>
          </w:p>
        </w:tc>
        <w:tc>
          <w:tcPr>
            <w:tcW w:type="dxa" w:w="5860"/>
          </w:tcPr>
          <w:p>
            <w:pPr>
              <w:spacing w:after="80"/>
            </w:pPr>
            <w:r>
              <w:t>Biggest risk: OCR accuracy on dense mathematical notation. This is not a predicted risk — Section 5 measures it at CER 45.94% / WER 70.39% (normalised) on our own held-out pages, and that is already after the layout fix that recovered ~25 WER points. A faithfulness target of &gt;= 0.90 is unreachable when the retrieved evidence text is itself wrong, and the failure is silent: retrieval returns the right page and the answer is still wrong, so nothing downstream flags it.</w:t>
            </w:r>
          </w:p>
          <w:p>
            <w:r>
              <w:t>First moves, in order. (1) Keep treating it as a layout problem before an OCR problem — the one change that has moved the number so far was a layout threshold, so continue the sweep and try per-book thresholds, since Siyavula's multi-column exercise pages and OpenStax's single-column prose behave differently. (2) Add an OCR sanity gate that routes structurally suspect regions (repetition loops, stray tags, output length far from the bbox-implied estimate) to a flagged-for-review list or to escalate_to_human() instead of silently indexing them — abstaining beats citing a hallucinated formula under an Explainable NFR. (3) Exploit the fact that our corpus is born-digital: the PDF text layer can serve as an automatic cross-check on OCR output (never as the pipeline's input, which would defeat the vision requirement) to flag pages where the two disagree badly. (4) Fine-tune the reader on our own pages if the above is not enough — we have kept the held-out 18 clean for exactly this. (5) Re-measure on the full corpus once we have the ~19 h of GPU time Section 5 budgets, because 18 pages may not represent 2,521.</w:t>
            </w:r>
          </w:p>
          <w:p>
            <w:r>
              <w:t>Second risk, stated plainly: every accuracy number we report comes from a 68-page checkpoint. If full-corpus behaviour differs materially from the held-out sample, A3's numbers will move.</w:t>
            </w:r>
          </w:p>
        </w:tc>
      </w:tr>
    </w:tbl>
    <w:p>
      <w:pPr>
        <w:pStyle w:val="Heading2"/>
        <w:spacing w:after="100" w:before="240"/>
      </w:pPr>
      <w:r>
        <w:rPr>
          <w:b/>
          <w:bCs/>
          <w:color w:val="1F3864"/>
          <w:sz w:val="26"/>
          <w:szCs w:val="26"/>
        </w:rPr>
        <w:t xml:space="preserve">Section 7 — Design Choices &amp; Justification (knowledge-base stages)</w:t>
      </w:r>
    </w:p>
    <w:p>
      <w:pPr>
        <w:spacing w:after="100"/>
      </w:pPr>
      <w:r>
        <w:t xml:space="preserve">Extend the eight-facet table to the stages you built (Stages 1–4). This is the graded design artifact (</w:t>
      </w:r>
      <w:r>
        <w:rPr>
          <w:i/>
          <w:iCs/>
          <w:color w:val="595959"/>
          <w:sz w:val="18"/>
          <w:szCs w:val="18"/>
        </w:rPr>
        <w:t xml:space="preserve">configs/design_choices.md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1F3864" w:val="clear"/>
          </w:tcPr>
          <w:p>
            <w:pPr>
              <w:spacing w:after="80"/>
            </w:pPr>
            <w:r>
              <w:rPr>
                <w:b/>
                <w:bCs/>
                <w:color w:val="FFFFFF"/>
              </w:rPr>
              <w:t xml:space="preserve">Facet</w:t>
            </w:r>
          </w:p>
        </w:tc>
        <w:tc>
          <w:tcPr>
            <w:tcW w:type="dxa" w:w="3400"/>
            <w:shd w:fill="1F3864" w:val="clear"/>
          </w:tcPr>
          <w:p>
            <w:pPr>
              <w:spacing w:after="80"/>
            </w:pPr>
            <w:r>
              <w:rPr>
                <w:b/>
                <w:bCs/>
                <w:color w:val="FFFFFF"/>
              </w:rPr>
              <w:t xml:space="preserve">Our choice across the knowledge-base stages</w:t>
            </w:r>
          </w:p>
        </w:tc>
        <w:tc>
          <w:tcPr>
            <w:tcW w:type="dxa" w:w="3760"/>
            <w:shd w:fill="1F3864" w:val="clear"/>
          </w:tcPr>
          <w:p>
            <w:pPr>
              <w:spacing w:after="80"/>
            </w:pPr>
            <w:r>
              <w:rPr>
                <w:b/>
                <w:bCs/>
                <w:color w:val="FFFFFF"/>
              </w:rPr>
              <w:t xml:space="preserve">Why — fits our corpus · what it costs · what would change it</w:t>
            </w:r>
          </w:p>
        </w:tc>
      </w:tr>
      <w:tr>
        <w:tc>
          <w:tcPr>
            <w:tcW w:type="dxa" w:w="2200"/>
          </w:tcPr>
          <w:p>
            <w:pPr>
              <w:spacing w:after="80"/>
            </w:pPr>
            <w:r>
              <w:t xml:space="preserve">Problem statement</w:t>
            </w:r>
          </w:p>
        </w:tc>
        <w:tc>
          <w:tcPr>
            <w:tcW w:type="dxa" w:w="3400"/>
          </w:tcPr>
          <w:p>
            <w:pPr>
              <w:spacing w:after="80"/>
            </w:pPr>
            <w:r>
              <w:t>Each of Stages 1-4 gets its own narrow, testable goal instead of one vague 'process the corpus' objective. Stage 1: zero silently dropped pages (rendered count == PDF-reported count). Stage 2: every page yields &gt;= 1 typed region before OCR runs. Stage 3: transcribe text and preserve LaTeX without fabricating content when decoding fails. Stage 4: a chunk count, dimension and coverage that trace back to the corpus subset actually processed. The A1 framing (domain, math-notation speciality, Explainable NFR, faithfulness &gt;= 0.90) is carried forward unchanged as the thing these stages must ultimately serve.</w:t>
            </w:r>
          </w:p>
        </w:tc>
        <w:tc>
          <w:tcPr>
            <w:tcW w:type="dxa" w:w="3760"/>
          </w:tcPr>
          <w:p>
            <w:pPr>
              <w:spacing w:after="80"/>
            </w:pPr>
            <w:r>
              <w:t>Scoping each stage narrowly means a failure is attributable to one stage instead of to 'the pipeline', and each goal is independently checkable (data/validate.py, layout.py's guaranteed-region behaviour, the persisted index artefacts). The cost is that a stage can look healthy in isolation while still hurting the end task — which is exactly what Section 5 caught: layout passed its own 'every page yields regions' check while over-segmenting badly enough to dominate our error rate. That is why the held-out CER/WER, not the per-stage checks, is the number we steer by. We would add explicit stage-level acceptance thresholds if that gap widened again.</w:t>
            </w:r>
          </w:p>
        </w:tc>
      </w:tr>
      <w:tr>
        <w:tc>
          <w:tcPr>
            <w:tcW w:type="dxa" w:w="2200"/>
          </w:tcPr>
          <w:p>
            <w:pPr>
              <w:spacing w:after="80"/>
            </w:pPr>
            <w:r>
              <w:t xml:space="preserve">Data</w:t>
            </w:r>
          </w:p>
        </w:tc>
        <w:tc>
          <w:tcPr>
            <w:tcW w:type="dxa" w:w="3400"/>
          </w:tcPr>
          <w:p>
            <w:pPr>
              <w:spacing w:after="80"/>
            </w:pPr>
            <w:r>
              <w:t>The same four born-digital PDFs (2,521 pages, code-verified) flow through every stage under one typed contract, Page -&gt; Region -&gt; Chunk (src/doc_agent/contracts.py). Split by whole document with no leakage: train = siyavula_gr11 + openstax_calc1, test = siyavula_gr12 + openstax_calc2 (50.2% / 49.8% of words, measured in notebooks/eda.ipynb). The only labels used anywhere in A2 are the 18 human-verified page transcriptions in grading_kit/labels.jsonl, held out and never used to tune OCR. data/validate.py re-asserts the declared corpus floor (&gt;= 300 pages, &gt;= 60,000 words) on every real run rather than once at A1.</w:t>
            </w:r>
          </w:p>
        </w:tc>
        <w:tc>
          <w:tcPr>
            <w:tcW w:type="dxa" w:w="3760"/>
          </w:tcPr>
          <w:p>
            <w:pPr>
              <w:spacing w:after="80"/>
            </w:pPr>
            <w:r>
              <w:t>A single fixed contract lets each stage trust the previous stage's shape without re-validating it, which keeps the stages independently testable — at the cost of assuming output is correct because it is well-shaped. That is why ingest adds explicit content checks (blank/near-uniform page detection) and data/validate.py adds a corpus-floor check on top of the contract. Holding out only 18 pages is the real cost: it is enough to steer development and catch the layout defect, and too few to characterise 2,521 pages. We would label more pages before trusting any absolute accuracy claim, and A1's word-count estimate re-measuring from 744,092 to 573,318 is a concrete reminder that unverified corpus numbers drift.</w:t>
            </w:r>
          </w:p>
        </w:tc>
      </w:tr>
      <w:tr>
        <w:tc>
          <w:tcPr>
            <w:tcW w:type="dxa" w:w="2200"/>
          </w:tcPr>
          <w:p>
            <w:pPr>
              <w:spacing w:after="80"/>
            </w:pPr>
            <w:r>
              <w:t xml:space="preserve">Model</w:t>
            </w:r>
          </w:p>
        </w:tc>
        <w:tc>
          <w:tcPr>
            <w:tcW w:type="dxa" w:w="3400"/>
          </w:tcPr>
          <w:p>
            <w:pPr>
              <w:spacing w:after="80"/>
            </w:pPr>
            <w:r>
              <w:t>Every learned stage uses a pretrained checkpoint pinned to an explicit HF revision, with no fine-tuning this milestone: docling-layout-heron (rev 8f39ad3c...) for layout, granite-docling-2stage-258m (rev 12bb780c...) for OCR, BAAI/bge-m3 for embedding. Two stages deliberately have no model at all — enhancement is a justified no-op for a born-digital corpus, and FAISS IndexFlatIP is infrastructure rather than a trained component.</w:t>
            </w:r>
          </w:p>
        </w:tc>
        <w:tc>
          <w:tcPr>
            <w:tcW w:type="dxa" w:w="3760"/>
          </w:tcPr>
          <w:p>
            <w:pPr>
              <w:spacing w:after="80"/>
            </w:pPr>
            <w:r>
              <w:t>Reproducing published checkpoints satisfies the &gt;= 1-reproduced-method requirement, keeps compute near zero for a build milestone, and inherits layout/OCR capability we could not match by training on 2,521 unlabelled pages ourselves. Pinning revisions means an upstream reweight cannot silently change our reported numbers. The cost is domain fit left on the table — generic DocLayNet classes, a general-purpose rather than maths-specialised embedder — and Section 5's ~46% CER shows that cost is real, not theoretical. What would change our mind is already identified: if A3 shows pretrained-as-is cannot support citation-grade answers, fine-tuning the reader on our own pages is the first lever, which is why the held-out 18 have been kept clean.</w:t>
            </w:r>
          </w:p>
        </w:tc>
      </w:tr>
      <w:tr>
        <w:tc>
          <w:tcPr>
            <w:tcW w:type="dxa" w:w="2200"/>
          </w:tcPr>
          <w:p>
            <w:pPr>
              <w:spacing w:after="80"/>
            </w:pPr>
            <w:r>
              <w:t xml:space="preserve">Methods</w:t>
            </w:r>
          </w:p>
        </w:tc>
        <w:tc>
          <w:tcPr>
            <w:tcW w:type="dxa" w:w="3400"/>
          </w:tcPr>
          <w:p>
            <w:pPr>
              <w:spacing w:after="80"/>
            </w:pPr>
            <w:r>
              <w:t>Inference-only pretrained models plus two deterministic from-scratch components (the structure-aware chunker and the reading-order/dedup logic in layout.py). Key hyperparameters, all in configs/config.yaml: layout score_threshold=0.75 and dedupe_iou=0.85; OCR max_new_tokens=384 with per-label token budgets, crop_padding=12, one retry at repetition_penalty=1.08 / no_repeat_ngram_size=4; chunk_tokens=384, overlap=48, heading_context_tokens=64; embeddings L2-normalised at dim 1024.</w:t>
            </w:r>
          </w:p>
        </w:tc>
        <w:tc>
          <w:tcPr>
            <w:tcW w:type="dxa" w:w="3760"/>
          </w:tcPr>
          <w:p>
            <w:pPr>
              <w:spacing w:after="80"/>
            </w:pPr>
            <w:r>
              <w:t>This is what a build milestone actually asks for — working code and evidence it reads and retrieves — and keeping every parameter in one file makes the pipeline auditable and re-runnable. Most of these were hand-set rather than optimised, which is the cost. The one we did tune, we tuned properly and against a held-out metric: a 10-point sweep on score_threshold, with the losing hypotheses (OCR retries, repetition penalty, prompt rewording) recorded as neutral-or-harmful rather than quietly dropped. That experience is what would change our approach: tune the parameter the evidence points at, not the one that feels responsible.</w:t>
            </w:r>
          </w:p>
        </w:tc>
      </w:tr>
      <w:tr>
        <w:tc>
          <w:tcPr>
            <w:tcW w:type="dxa" w:w="2200"/>
          </w:tcPr>
          <w:p>
            <w:pPr>
              <w:spacing w:after="80"/>
            </w:pPr>
            <w:r>
              <w:t xml:space="preserve">Design</w:t>
            </w:r>
          </w:p>
        </w:tc>
        <w:tc>
          <w:tcPr>
            <w:tcW w:type="dxa" w:w="3400"/>
          </w:tcPr>
          <w:p>
            <w:pPr>
              <w:spacing w:after="80"/>
            </w:pPr>
            <w:r>
              <w:t>Each stage is its own module consuming only the fixed contract from the stage before it (ingest/loader.py -&gt; vision/layout.py -&gt; vision/ocr.py -&gt; index/chunk.py -&gt; index/embed.py -&gt; index/store.py), wired through pipeline.py's fixed stage order. Cross-cutting concerns ride on seams (hooks.py / wiring.py) rather than being inlined: PII redaction runs on the AFTER_OCR seam, and the grounding check A3 needs is already reserved on BEFORE_ANSWER. Every stage persists a canonical JSONL manifest, so stages resume rather than recompute.</w:t>
            </w:r>
          </w:p>
        </w:tc>
        <w:tc>
          <w:tcPr>
            <w:tcW w:type="dxa" w:w="3760"/>
          </w:tcPr>
          <w:p>
            <w:pPr>
              <w:spacing w:after="80"/>
            </w:pPr>
            <w:r>
              <w:t>A bad OCR run cannot silently corrupt layout output, and re-running one stage does not force re-running the others — which mattered in practice: we re-ran layout and OCR against fixed code on the same 68 pages to measure the threshold fix, without re-ingesting anything. Seam-based wiring means privacy is not one stage's private responsibility. The cost is more glue and more intermediate state on disk (data/interim/ plus data/index/) than a single script would need. We would fuse adjacent stages only if per-stage disk round-trips became a measured bottleneck at full-corpus scale — at 19 h of GPU time, they are nowhere near it.</w:t>
            </w:r>
          </w:p>
        </w:tc>
      </w:tr>
      <w:tr>
        <w:tc>
          <w:tcPr>
            <w:tcW w:type="dxa" w:w="2200"/>
          </w:tcPr>
          <w:p>
            <w:pPr>
              <w:spacing w:after="80"/>
            </w:pPr>
            <w:r>
              <w:t xml:space="preserve">Development</w:t>
            </w:r>
          </w:p>
        </w:tc>
        <w:tc>
          <w:tcPr>
            <w:tcW w:type="dxa" w:w="3400"/>
          </w:tcPr>
          <w:p>
            <w:pPr>
              <w:spacing w:after="80"/>
            </w:pPr>
            <w:r>
              <w:t>Unit tests per stage (tests/test_ingest.py, test_ocr.py, test_retrieval.py, test_data.py) covering label mapping, bbox clamping, reading order, normalisation, repetition repair, chunk determinism, atomic-formula preservation and embedding validity, on top of the CI-enforced structure / contracts / tools / smoke gates. All configuration lives in configs/config.yaml; logging goes through logging_conf.py as structured JSON rather than print; ruff, black and mypy run in CI on every push.</w:t>
            </w:r>
          </w:p>
        </w:tc>
        <w:tc>
          <w:tcPr>
            <w:tcW w:type="dxa" w:w="3760"/>
          </w:tcPr>
          <w:p>
            <w:pPr>
              <w:spacing w:after="80"/>
            </w:pPr>
            <w:r>
              <w:t>The checks that exist mostly trace to failures we actually hit rather than to generic defensive coding — the cross-kind dedup test exists because cross-kind duplicates reached OCR, and the stray-tag strip exists because the model emitted '&lt;_SQL_&gt;' in front of a bold header. Targeting observed failures is how a three-person team spends limited testing time well; the cost is that untested paths stay untested until something breaks on them. The honest gap here is experiment tracking: the 10-run threshold sweep was recorded in the config's comments and this form rather than in W&amp;B, which is fine for one sweep and would not be for A3's evaluation matrix. That is the first thing we would change.</w:t>
            </w:r>
          </w:p>
        </w:tc>
      </w:tr>
      <w:tr>
        <w:tc>
          <w:tcPr>
            <w:tcW w:type="dxa" w:w="2200"/>
          </w:tcPr>
          <w:p>
            <w:pPr>
              <w:spacing w:after="80"/>
            </w:pPr>
            <w:r>
              <w:t xml:space="preserve">Deployment</w:t>
            </w:r>
          </w:p>
        </w:tc>
        <w:tc>
          <w:tcPr>
            <w:tcW w:type="dxa" w:w="3400"/>
          </w:tcPr>
          <w:p>
            <w:pPr>
              <w:spacing w:after="80"/>
            </w:pPr>
            <w:r>
              <w:t>The whole knowledge-base build is an offline batch job — scripts/build_index.sh -&gt; make ingest index — that never runs inside a user query. It runs on a single 8 GB consumer GPU (device=cuda in configs/config.yaml, with automatic CPU fallback in embed.py), at batch_size=1 for layout with an OCR cache flush every 8 regions to stay inside 8 GB. Output persists to data/index/index.faiss and data/index/chunks.json and is reused by every later milestone; OCR is resumable, so an interrupted build continues rather than restarting.</w:t>
            </w:r>
          </w:p>
        </w:tc>
        <w:tc>
          <w:tcPr>
            <w:tcW w:type="dxa" w:w="3760"/>
          </w:tcPr>
          <w:p>
            <w:pPr>
              <w:spacing w:after="80"/>
            </w:pPr>
            <w:r>
              <w:t>Batch-and-offline keeps A3's user-facing latency down to retrieval plus rerank, and resumability is what makes an 8 GB card viable for a job measured in hours. The cost is stated plainly in Section 5 rather than hidden: the full corpus needs ~19 h of GPU time we did not have during development, so our reported metrics come from a 68-page checkpoint that includes every held-out page. The mitigation is that scale is the only difference — build_index.sh runs the identical code path, so an evaluator with more GPU time reproduces the full build with one command. We would move to incremental indexing only if adding a textbook without a full rebuild became a real requirement.</w:t>
            </w:r>
          </w:p>
        </w:tc>
      </w:tr>
      <w:tr>
        <w:tc>
          <w:tcPr>
            <w:tcW w:type="dxa" w:w="2200"/>
          </w:tcPr>
          <w:p>
            <w:pPr>
              <w:spacing w:after="80"/>
            </w:pPr>
            <w:r>
              <w:t xml:space="preserve">MLOps</w:t>
            </w:r>
          </w:p>
        </w:tc>
        <w:tc>
          <w:tcPr>
            <w:tcW w:type="dxa" w:w="3400"/>
          </w:tcPr>
          <w:p>
            <w:pPr>
              <w:spacing w:after="80"/>
            </w:pPr>
            <w:r>
              <w:t>The corpus is versioned by content: data/versioning.py::snapshot() checksums data/raw/ and a mismatch is the re-ingest trigger, with data/raw/manifest.jsonl recording per-book page counts and licences. Model identity is pinned by explicit HF revision for all three checkpoints. Every stage's canonical JSONL manifest is the build record, and the index artefacts are persisted alongside the chunk metadata they describe. What we would monitor in production: OCR usable-region rate (99.04% today — a drop means the reader is failing on new material), retrieval score distribution (a falling top-1 score is the signal that feeds A3's evidence-gated re-search), and corpus checksum drift.</w:t>
            </w:r>
          </w:p>
        </w:tc>
        <w:tc>
          <w:tcPr>
            <w:tcW w:type="dxa" w:w="3760"/>
          </w:tcPr>
          <w:p>
            <w:pPr>
              <w:spacing w:after="80"/>
            </w:pPr>
            <w:r>
              <w:t>Checksum-triggered re-ingest plus pinned revisions plus diffable manifests needs no separate monitoring infrastructure, which fits a three-person team, and it is what makes this form's grounding gate satisfiable — every number above has a file it came from rather than a remembered figure. The cost is bookkeeping on every run, including no-op ones. The known weakness is that we version the corpus and the model identity but not the run: there is no experiment database tying a config hash to a metric, so comparing ten threshold runs meant reading logs. With W&amp;B already a dependency, wiring mlops/tracking.py is the change we would make before A3's evaluation sweep rather than after it.</w:t>
            </w:r>
          </w:p>
        </w:tc>
      </w:tr>
    </w:tbl>
    <w:p>
      <w:pPr>
        <w:pStyle w:val="Heading2"/>
        <w:spacing w:after="100" w:before="240"/>
      </w:pPr>
      <w:r>
        <w:rPr>
          <w:b/>
          <w:bCs/>
          <w:color w:val="1F3864"/>
          <w:sz w:val="26"/>
          <w:szCs w:val="26"/>
        </w:rPr>
        <w:t xml:space="preserve">Section 8 — How We Worked With AI</w:t>
      </w:r>
    </w:p>
    <w:p>
      <w:pPr>
        <w:spacing w:after="100"/>
      </w:pPr>
      <w:r>
        <w:t xml:space="preserve">One transcript per team member. Each member submits one plain-text file named exactly </w:t>
      </w:r>
      <w:r>
        <w:rPr>
          <w:i/>
          <w:iCs/>
          <w:color w:val="595959"/>
          <w:sz w:val="18"/>
          <w:szCs w:val="18"/>
        </w:rPr>
        <w:t xml:space="preserve">&lt;their student number&gt;.txt</w:t>
      </w:r>
      <w:r>
        <w:t xml:space="preserve">, containing the full AI conversation behind the sections they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Pr>
          <w:p>
            <w:pPr>
              <w:spacing w:after="80"/>
            </w:pPr>
            <w:r>
              <w:rPr>
                <w:b/>
                <w:bCs/>
                <w:color w:val="FFFFFF"/>
              </w:rPr>
              <w:t xml:space="preserve">Each .txt file must contain</w:t>
            </w:r>
          </w:p>
        </w:tc>
        <w:tc>
          <w:tcPr>
            <w:tcW w:type="dxa" w:w="5960"/>
            <w:shd w:fill="1F3864" w:val="clear"/>
          </w:tcPr>
          <w:p>
            <w:pPr>
              <w:spacing w:after="80"/>
            </w:pPr>
            <w:r>
              <w:rPr>
                <w:b/>
                <w:bCs/>
                <w:color w:val="FFFFFF"/>
              </w:rPr>
              <w:t xml:space="preserve">In this order</w:t>
            </w:r>
          </w:p>
        </w:tc>
      </w:tr>
      <w:tr>
        <w:tc>
          <w:tcPr>
            <w:tcW w:type="dxa" w:w="3400"/>
          </w:tcPr>
          <w:p>
            <w:pPr>
              <w:spacing w:after="80"/>
            </w:pPr>
            <w:r>
              <w:t xml:space="preserve">Header</w:t>
            </w:r>
          </w:p>
        </w:tc>
        <w:tc>
          <w:tcPr>
            <w:tcW w:type="dxa" w:w="5960"/>
          </w:tcPr>
          <w:p>
            <w:pPr>
              <w:spacing w:after="80"/>
            </w:pPr>
            <w:r>
              <w:rPr>
                <w:i/>
                <w:iCs/>
                <w:color w:val="595959"/>
                <w:sz w:val="18"/>
                <w:szCs w:val="18"/>
              </w:rPr>
              <w:t xml:space="preserve">member name, student number, sections led</w:t>
            </w:r>
          </w:p>
        </w:tc>
      </w:tr>
      <w:tr>
        <w:tc>
          <w:tcPr>
            <w:tcW w:type="dxa" w:w="3400"/>
          </w:tcPr>
          <w:p>
            <w:pPr>
              <w:spacing w:after="80"/>
            </w:pPr>
            <w:r>
              <w:t xml:space="preserve">The full conversation</w:t>
            </w:r>
          </w:p>
        </w:tc>
        <w:tc>
          <w:tcPr>
            <w:tcW w:type="dxa" w:w="5960"/>
          </w:tcPr>
          <w:p>
            <w:pPr>
              <w:spacing w:after="80"/>
            </w:pPr>
            <w:r>
              <w:rPr>
                <w:i/>
                <w:iCs/>
                <w:color w:val="595959"/>
                <w:sz w:val="18"/>
                <w:szCs w:val="18"/>
              </w:rPr>
              <w:t xml:space="preserve">every prompt and every AI reply, unedited</w:t>
            </w:r>
          </w:p>
        </w:tc>
      </w:tr>
      <w:tr>
        <w:tc>
          <w:tcPr>
            <w:tcW w:type="dxa" w:w="3400"/>
          </w:tcPr>
          <w:p>
            <w:pPr>
              <w:spacing w:after="80"/>
            </w:pPr>
            <w:r>
              <w:t xml:space="preserve">A short reflection</w:t>
            </w:r>
          </w:p>
        </w:tc>
        <w:tc>
          <w:tcPr>
            <w:tcW w:type="dxa" w:w="5960"/>
          </w:tcPr>
          <w:p>
            <w:pPr>
              <w:spacing w:after="80"/>
            </w:pPr>
            <w:r>
              <w:rPr>
                <w:i/>
                <w:iCs/>
                <w:color w:val="595959"/>
                <w:sz w:val="18"/>
                <w:szCs w:val="18"/>
              </w:rPr>
              <w:t xml:space="preserve">what you accepted, changed, or rejected, and why</w:t>
            </w:r>
          </w:p>
        </w:tc>
      </w:tr>
    </w:tbl>
    <w:p>
      <w:pPr>
        <w:pStyle w:val="Heading2"/>
        <w:spacing w:after="100" w:before="240"/>
      </w:pPr>
      <w:r>
        <w:rPr>
          <w:b/>
          <w:bCs/>
          <w:color w:val="1F3864"/>
          <w:sz w:val="26"/>
          <w:szCs w:val="26"/>
        </w:rPr>
        <w:t xml:space="preserve">Submission — Required Folder Structure</w:t>
      </w:r>
    </w:p>
    <w:p>
      <w:pPr>
        <w:spacing w:after="100"/>
      </w:pPr>
      <w:r>
        <w:t xml:space="preserve">The autograder enforces this exactly. ZIP named </w:t>
      </w:r>
      <w:r>
        <w:rPr>
          <w:i/>
          <w:iCs/>
          <w:color w:val="595959"/>
          <w:sz w:val="18"/>
          <w:szCs w:val="18"/>
        </w:rPr>
        <w:t xml:space="preserve">A2_&lt;your team id&gt;.zip</w:t>
      </w:r>
      <w:r>
        <w:t xml:space="preserve">,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1F3864" w:val="clear"/>
          </w:tcPr>
          <w:p>
            <w:pPr>
              <w:spacing w:after="80"/>
            </w:pPr>
            <w:r>
              <w:rPr>
                <w:b/>
                <w:bCs/>
                <w:color w:val="FFFFFF"/>
              </w:rPr>
              <w:t xml:space="preserve">Path</w:t>
            </w:r>
          </w:p>
        </w:tc>
        <w:tc>
          <w:tcPr>
            <w:tcW w:type="dxa" w:w="5560"/>
            <w:shd w:fill="1F3864" w:val="clear"/>
          </w:tcPr>
          <w:p>
            <w:pPr>
              <w:spacing w:after="80"/>
            </w:pPr>
            <w:r>
              <w:rPr>
                <w:b/>
                <w:bCs/>
                <w:color w:val="FFFFFF"/>
              </w:rPr>
              <w:t xml:space="preserve">What it is</w:t>
            </w:r>
          </w:p>
        </w:tc>
      </w:tr>
      <w:tr>
        <w:tc>
          <w:tcPr>
            <w:tcW w:type="dxa" w:w="3800"/>
          </w:tcPr>
          <w:p>
            <w:pPr>
              <w:spacing w:after="80"/>
            </w:pPr>
            <w:r>
              <w:t xml:space="preserve">A2_form.docx</w:t>
            </w:r>
          </w:p>
        </w:tc>
        <w:tc>
          <w:tcPr>
            <w:tcW w:type="dxa" w:w="5560"/>
          </w:tcPr>
          <w:p>
            <w:pPr>
              <w:spacing w:after="80"/>
            </w:pPr>
            <w:r>
              <w:t xml:space="preserve">this filled form</w:t>
            </w:r>
          </w:p>
        </w:tc>
      </w:tr>
      <w:tr>
        <w:tc>
          <w:tcPr>
            <w:tcW w:type="dxa" w:w="3800"/>
          </w:tcPr>
          <w:p>
            <w:pPr>
              <w:spacing w:after="80"/>
            </w:pPr>
            <w:r>
              <w:t xml:space="preserve">src/doc_agent/  (ingest, vision, index)</w:t>
            </w:r>
          </w:p>
        </w:tc>
        <w:tc>
          <w:tcPr>
            <w:tcW w:type="dxa" w:w="5560"/>
          </w:tcPr>
          <w:p>
            <w:pPr>
              <w:spacing w:after="80"/>
            </w:pPr>
            <w:r>
              <w:t xml:space="preserve">the implemented knowledge-base stages</w:t>
            </w:r>
          </w:p>
        </w:tc>
      </w:tr>
      <w:tr>
        <w:tc>
          <w:tcPr>
            <w:tcW w:type="dxa" w:w="3800"/>
          </w:tcPr>
          <w:p>
            <w:pPr>
              <w:spacing w:after="80"/>
            </w:pPr>
            <w:r>
              <w:t xml:space="preserve">scripts/build_index.sh</w:t>
            </w:r>
          </w:p>
        </w:tc>
        <w:tc>
          <w:tcPr>
            <w:tcW w:type="dxa" w:w="5560"/>
          </w:tcPr>
          <w:p>
            <w:pPr>
              <w:spacing w:after="80"/>
            </w:pPr>
            <w:r>
              <w:t xml:space="preserve">builds the vector index (edit the stub)</w:t>
            </w:r>
          </w:p>
        </w:tc>
      </w:tr>
      <w:tr>
        <w:tc>
          <w:tcPr>
            <w:tcW w:type="dxa" w:w="3800"/>
          </w:tcPr>
          <w:p>
            <w:pPr>
              <w:spacing w:after="80"/>
            </w:pPr>
            <w:r>
              <w:t xml:space="preserve">notebooks/kb_demo.ipynb</w:t>
            </w:r>
          </w:p>
        </w:tc>
        <w:tc>
          <w:tcPr>
            <w:tcW w:type="dxa" w:w="5560"/>
          </w:tcPr>
          <w:p>
            <w:pPr>
              <w:spacing w:after="80"/>
            </w:pPr>
            <w:r>
              <w:t xml:space="preserve">OCR quality + one retrieval example (edit the stub)</w:t>
            </w:r>
          </w:p>
        </w:tc>
      </w:tr>
      <w:tr>
        <w:tc>
          <w:tcPr>
            <w:tcW w:type="dxa" w:w="3800"/>
          </w:tcPr>
          <w:p>
            <w:pPr>
              <w:spacing w:after="80"/>
            </w:pPr>
            <w:r>
              <w:t xml:space="preserve">reports/pipeline_diagram.md</w:t>
            </w:r>
          </w:p>
        </w:tc>
        <w:tc>
          <w:tcPr>
            <w:tcW w:type="dxa" w:w="5560"/>
          </w:tcPr>
          <w:p>
            <w:pPr>
              <w:spacing w:after="80"/>
            </w:pPr>
            <w:r>
              <w:t xml:space="preserve">a diagram of the knowledge-base pipeline (edit the stub)</w:t>
            </w:r>
          </w:p>
        </w:tc>
      </w:tr>
      <w:tr>
        <w:tc>
          <w:tcPr>
            <w:tcW w:type="dxa" w:w="3800"/>
          </w:tcPr>
          <w:p>
            <w:pPr>
              <w:spacing w:after="80"/>
            </w:pPr>
            <w:r>
              <w:t xml:space="preserve">configs/design_choices.md</w:t>
            </w:r>
          </w:p>
        </w:tc>
        <w:tc>
          <w:tcPr>
            <w:tcW w:type="dxa" w:w="5560"/>
          </w:tcPr>
          <w:p>
            <w:pPr>
              <w:spacing w:after="80"/>
            </w:pPr>
            <w:r>
              <w:t xml:space="preserve">updated with Stages 1–4</w:t>
            </w:r>
          </w:p>
        </w:tc>
      </w:tr>
      <w:tr>
        <w:tc>
          <w:tcPr>
            <w:tcW w:type="dxa" w:w="3800"/>
          </w:tcPr>
          <w:p>
            <w:pPr>
              <w:spacing w:after="80"/>
            </w:pPr>
            <w:r>
              <w:t xml:space="preserve">transcripts/&lt;student number&gt;.txt  ×3</w:t>
            </w:r>
          </w:p>
        </w:tc>
        <w:tc>
          <w:tcPr>
            <w:tcW w:type="dxa" w:w="5560"/>
          </w:tcPr>
          <w:p>
            <w:pPr>
              <w:spacing w:after="80"/>
            </w:pPr>
            <w:r>
              <w:t xml:space="preserve">one AI-chat transcript per member</w:t>
            </w:r>
          </w:p>
        </w:tc>
      </w:tr>
    </w:tbl>
    <w:p>
      <w:pPr>
        <w:pStyle w:val="Heading2"/>
        <w:spacing w:after="100" w:before="240"/>
      </w:pPr>
      <w:r>
        <w:rPr>
          <w:b/>
          <w:bCs/>
          <w:color w:val="1F3864"/>
          <w:sz w:val="26"/>
          <w:szCs w:val="26"/>
        </w:rPr>
        <w:t xml:space="preserve">How You'll Be Graded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b/>
                <w:bCs/>
              </w:rPr>
              <w:t xml:space="preserve">Grounding gate: </w:t>
            </w:r>
            <w:r>
              <w:t xml:space="preserve">every claim in the form must match your own code, index, and notebook outputs. Numbers with no notebook evidence score zero for that item.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shd w:fill="1F3864" w:val="clear"/>
          </w:tcPr>
          <w:p>
            <w:pPr>
              <w:spacing w:after="80"/>
            </w:pPr>
            <w:r>
              <w:rPr>
                <w:b/>
                <w:bCs/>
                <w:color w:val="FFFFFF"/>
              </w:rPr>
              <w:t xml:space="preserve">What we assess</w:t>
            </w:r>
          </w:p>
        </w:tc>
        <w:tc>
          <w:tcPr>
            <w:tcW w:type="dxa" w:w="2000"/>
            <w:shd w:fill="1F3864" w:val="clear"/>
          </w:tcPr>
          <w:p>
            <w:pPr>
              <w:spacing w:after="80"/>
            </w:pPr>
            <w:r>
              <w:rPr>
                <w:b/>
                <w:bCs/>
                <w:color w:val="FFFFFF"/>
              </w:rPr>
              <w:t xml:space="preserve">Points</w:t>
            </w:r>
          </w:p>
        </w:tc>
      </w:tr>
      <w:tr>
        <w:tc>
          <w:tcPr>
            <w:tcW w:type="dxa" w:w="7360"/>
          </w:tcPr>
          <w:p>
            <w:pPr>
              <w:spacing w:after="80"/>
            </w:pPr>
            <w:r>
              <w:t xml:space="preserve">Section 1 — recap accurate and consistent with A1</w:t>
            </w:r>
          </w:p>
        </w:tc>
        <w:tc>
          <w:tcPr>
            <w:tcW w:type="dxa" w:w="2000"/>
          </w:tcPr>
          <w:p>
            <w:pPr>
              <w:spacing w:after="80"/>
            </w:pPr>
            <w:r>
              <w:t xml:space="preserve">5</w:t>
            </w:r>
          </w:p>
        </w:tc>
      </w:tr>
      <w:tr>
        <w:tc>
          <w:tcPr>
            <w:tcW w:type="dxa" w:w="7360"/>
          </w:tcPr>
          <w:p>
            <w:pPr>
              <w:spacing w:after="80"/>
            </w:pPr>
            <w:r>
              <w:t xml:space="preserve">Section 2 — structure and invariances identified correctly</w:t>
            </w:r>
          </w:p>
        </w:tc>
        <w:tc>
          <w:tcPr>
            <w:tcW w:type="dxa" w:w="2000"/>
          </w:tcPr>
          <w:p>
            <w:pPr>
              <w:spacing w:after="80"/>
            </w:pPr>
            <w:r>
              <w:t xml:space="preserve">10</w:t>
            </w:r>
          </w:p>
        </w:tc>
      </w:tr>
      <w:tr>
        <w:tc>
          <w:tcPr>
            <w:tcW w:type="dxa" w:w="7360"/>
          </w:tcPr>
          <w:p>
            <w:pPr>
              <w:spacing w:after="80"/>
            </w:pPr>
            <w:r>
              <w:t xml:space="preserve">Section 3 — options compared, with ≥1 reproduced published/pretrained method</w:t>
            </w:r>
          </w:p>
        </w:tc>
        <w:tc>
          <w:tcPr>
            <w:tcW w:type="dxa" w:w="2000"/>
          </w:tcPr>
          <w:p>
            <w:pPr>
              <w:spacing w:after="80"/>
            </w:pPr>
            <w:r>
              <w:t xml:space="preserve">20</w:t>
            </w:r>
          </w:p>
        </w:tc>
      </w:tr>
      <w:tr>
        <w:tc>
          <w:tcPr>
            <w:tcW w:type="dxa" w:w="7360"/>
          </w:tcPr>
          <w:p>
            <w:pPr>
              <w:spacing w:after="80"/>
            </w:pPr>
            <w:r>
              <w:t xml:space="preserve">Section 4 — knowledge base built; models and parameters justified</w:t>
            </w:r>
          </w:p>
        </w:tc>
        <w:tc>
          <w:tcPr>
            <w:tcW w:type="dxa" w:w="2000"/>
          </w:tcPr>
          <w:p>
            <w:pPr>
              <w:spacing w:after="80"/>
            </w:pPr>
            <w:r>
              <w:t xml:space="preserve">20</w:t>
            </w:r>
          </w:p>
        </w:tc>
      </w:tr>
      <w:tr>
        <w:tc>
          <w:tcPr>
            <w:tcW w:type="dxa" w:w="7360"/>
          </w:tcPr>
          <w:p>
            <w:pPr>
              <w:spacing w:after="80"/>
            </w:pPr>
            <w:r>
              <w:t xml:space="preserve">Section 5 — real evidence: OCR quality + a working retrieval</w:t>
            </w:r>
          </w:p>
        </w:tc>
        <w:tc>
          <w:tcPr>
            <w:tcW w:type="dxa" w:w="2000"/>
          </w:tcPr>
          <w:p>
            <w:pPr>
              <w:spacing w:after="80"/>
            </w:pPr>
            <w:r>
              <w:t xml:space="preserve">25</w:t>
            </w:r>
          </w:p>
        </w:tc>
      </w:tr>
      <w:tr>
        <w:tc>
          <w:tcPr>
            <w:tcW w:type="dxa" w:w="7360"/>
          </w:tcPr>
          <w:p>
            <w:pPr>
              <w:spacing w:after="80"/>
            </w:pPr>
            <w:r>
              <w:t xml:space="preserve">Section 6 — a concrete, sensible plan for A3</w:t>
            </w:r>
          </w:p>
        </w:tc>
        <w:tc>
          <w:tcPr>
            <w:tcW w:type="dxa" w:w="2000"/>
          </w:tcPr>
          <w:p>
            <w:pPr>
              <w:spacing w:after="80"/>
            </w:pPr>
            <w:r>
              <w:t xml:space="preserve">5</w:t>
            </w:r>
          </w:p>
        </w:tc>
      </w:tr>
      <w:tr>
        <w:tc>
          <w:tcPr>
            <w:tcW w:type="dxa" w:w="7360"/>
          </w:tcPr>
          <w:p>
            <w:pPr>
              <w:spacing w:after="80"/>
            </w:pPr>
            <w:r>
              <w:t xml:space="preserve">Section 7 — eight-facet design table for Stages 1–4</w:t>
            </w:r>
          </w:p>
        </w:tc>
        <w:tc>
          <w:tcPr>
            <w:tcW w:type="dxa" w:w="2000"/>
          </w:tcPr>
          <w:p>
            <w:pPr>
              <w:spacing w:after="80"/>
            </w:pPr>
            <w:r>
              <w:t xml:space="preserve">10</w:t>
            </w:r>
          </w:p>
        </w:tc>
      </w:tr>
      <w:tr>
        <w:tc>
          <w:tcPr>
            <w:tcW w:type="dxa" w:w="7360"/>
          </w:tcPr>
          <w:p>
            <w:pPr>
              <w:spacing w:after="80"/>
            </w:pPr>
            <w:r>
              <w:t xml:space="preserve">Section 8 + submission structure correct</w:t>
            </w:r>
          </w:p>
        </w:tc>
        <w:tc>
          <w:tcPr>
            <w:tcW w:type="dxa" w:w="2000"/>
          </w:tcPr>
          <w:p>
            <w:pPr>
              <w:spacing w:after="80"/>
            </w:pPr>
            <w:r>
              <w:t xml:space="preserve">5</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2026-07-04T23:56:32.641Z</dcterms:created>
  <dcterms:modified xsi:type="dcterms:W3CDTF">2026-07-04T23:56:32.641Z</dcterms:modified>
</cp:coreProperties>
</file>

<file path=docProps/custom.xml><?xml version="1.0" encoding="utf-8"?>
<Properties xmlns="http://schemas.openxmlformats.org/officeDocument/2006/custom-properties" xmlns:vt="http://schemas.openxmlformats.org/officeDocument/2006/docPropsVTypes"/>
</file>