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84"/>
        </w:rPr>
        <w:t>AlignAI</w:t>
      </w:r>
    </w:p>
    <w:p>
      <w:pPr>
        <w:jc w:val="center"/>
      </w:pPr>
      <w:r>
        <w:rPr>
          <w:color w:val="334A6F"/>
          <w:sz w:val="36"/>
        </w:rPr>
        <w:t>Semantic Resume Matcher — Project Report</w:t>
      </w:r>
    </w:p>
    <w:p/>
    <w:p>
      <w:pPr>
        <w:spacing w:before="80" w:after="80"/>
        <w:pBdr>
          <w:bottom w:val="single" w:sz="6" w:space="1" w:color="4F46E5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Project Name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AlignAI — AI-Powered Resume Matcher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Team Members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Naheel  ·  Mawahid  ·  Sohaib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Technology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Next.js 15 · FastAPI · PostgreSQL · Jina AI · Groq / Gemini</w:t>
            </w:r>
          </w:p>
        </w:tc>
      </w:tr>
      <w:tr>
        <w:tc>
          <w:tcPr>
            <w:tcW w:type="dxa" w:w="4536"/>
            <w:shd w:val="clear" w:color="auto" w:fill="EEF2FF"/>
          </w:tcPr>
          <w:p>
            <w:r>
              <w:rPr>
                <w:b/>
                <w:color w:val="4F46E5"/>
                <w:sz w:val="20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1.0.0  —  April 2026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1. Executive Summary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AlignAI is a full-stack, AI-powered web application that analyses the semantic and keyword alignment between a candidate's resume and a specific job description. It produces a quantified match score, identifies skill gaps with curated learning resource links, generates an ATS-optimised resume tailored to the role, and allows the candidate to download the result in PDF, DOCX, Markdown, or plain-text format. The system is built on a modern Python/TypeScript stack and supports multiple AI providers — Jina AI and Groq LLaMA 3.3 as a free tier, with Google Gemini as a paid upgrade.</w:t>
      </w:r>
    </w:p>
    <w:p>
      <w:pPr>
        <w:spacing w:before="200" w:after="80"/>
      </w:pPr>
      <w:r>
        <w:rPr>
          <w:b/>
          <w:color w:val="4F46E5"/>
          <w:sz w:val="40"/>
        </w:rPr>
        <w:t>2. Problem Statement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Applicant Tracking Systems (ATS) reject up to 75% of resumes before a human ever reads them. Candidates have no reliable way to know whether their resume is aligned with a specific job description, which skills are missing, or how to improve their application. AlignAI solves this by providing instant, AI-driven feedback on: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How semantically similar the resume is to the job description (embedding-based cosine similarity).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Which specific technical skills and tools are mentioned in the JD but absent from the resume.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Concrete, actionable improvements to resume content, structure, and phrasing.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An automatically rewritten, ATS-friendly version of the resume targeting the specific role.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Learning resource links (YouTube, Coursera, official docs) for every missing skill.</w:t>
      </w:r>
    </w:p>
    <w:p>
      <w:pPr>
        <w:spacing w:before="200" w:after="80"/>
      </w:pPr>
      <w:r>
        <w:rPr>
          <w:b/>
          <w:color w:val="4F46E5"/>
          <w:sz w:val="40"/>
        </w:rPr>
        <w:t>3. Objectives</w:t>
      </w:r>
    </w:p>
    <w:p>
      <w:pPr>
        <w:spacing w:before="80" w:after="80"/>
        <w:pBdr>
          <w:bottom w:val="single" w:sz="6" w:space="1" w:color="4F46E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4F46E5"/>
                <w:sz w:val="20"/>
              </w:rPr>
              <w:t xml:space="preserve">Primary:  </w:t>
            </w:r>
            <w:r>
              <w:rPr>
                <w:color w:val="0F172A"/>
                <w:sz w:val="20"/>
              </w:rPr>
              <w:t>Enable candidates to quantify resume-job alignment using AI embeddings and keyword analysis.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4F46E5"/>
                <w:sz w:val="20"/>
              </w:rPr>
              <w:t xml:space="preserve">Secondary:  </w:t>
            </w:r>
            <w:r>
              <w:rPr>
                <w:color w:val="0F172A"/>
                <w:sz w:val="20"/>
              </w:rPr>
              <w:t>Generate structured, actionable gap analysis with skill learning resources.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4F46E5"/>
                <w:sz w:val="20"/>
              </w:rPr>
              <w:t xml:space="preserve">Tertiary:  </w:t>
            </w:r>
            <w:r>
              <w:rPr>
                <w:color w:val="0F172A"/>
                <w:sz w:val="20"/>
              </w:rPr>
              <w:t>Produce ATS-optimised resumes downloadable in multiple formats (PDF, DOCX, MD, TXT).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4F46E5"/>
                <w:sz w:val="20"/>
              </w:rPr>
              <w:t xml:space="preserve">Technical:  </w:t>
            </w:r>
            <w:r>
              <w:rPr>
                <w:color w:val="0F172A"/>
                <w:sz w:val="20"/>
              </w:rPr>
              <w:t>Build a production-grade, secure, in-memory processing pipeline with no disk I/O.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r>
              <w:rPr>
                <w:b/>
                <w:color w:val="4F46E5"/>
                <w:sz w:val="20"/>
              </w:rPr>
              <w:t xml:space="preserve">Scale:  </w:t>
            </w:r>
            <w:r>
              <w:rPr>
                <w:color w:val="0F172A"/>
                <w:sz w:val="20"/>
              </w:rPr>
              <w:t>Support both free-tier (Jina + Groq) and paid (Gemini) AI providers with zero code changes.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4. Technology Stack</w:t>
      </w:r>
    </w:p>
    <w:p>
      <w:pPr>
        <w:spacing w:before="80" w:after="80"/>
        <w:pBdr>
          <w:bottom w:val="single" w:sz="6" w:space="1" w:color="4F46E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2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Next.js 15 (App Router) + TypeScript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Server-side rendering, type-safe UI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UI Components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Tailwind CSS + Radix UI primitives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Utility-first, accessible design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FastAPI (Python 3.12)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Async REST API, OpenAPI docs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SQLAlchemy 2.0 (async) + asyncpg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PostgreSQL connection pooling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PDF Extraction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PyMuPDF (fitz)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In-memory, zero disk I/O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Embeddings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Jina text-embedding-v3 / Gemini text-embedding-004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768–1024 dim vectors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LLM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Groq LLaMA-3.3-70b / Gemini 1.5 Flash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Gap analysis + resume generation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PDF Output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ReportLab Platypus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Unicode-safe, professional PDF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DOCX I/O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python-docx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DOCX upload parsing + DOCX export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PostgreSQL 17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Match history persistence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Rate Limiting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SlowAPI (per-IP)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API abuse prevention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Containerisation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Reproducible local + prod deploy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5. System Architecture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AlignAI follows a clean three-tier architecture: a Next.js frontend, a FastAPI backend, and a PostgreSQL database. All AI calls are offloaded to a thread pool so the async event loop is never blocked. The frontend communicates with the backend exclusively through a versioned REST API (/api/v1/...).</w:t>
      </w:r>
    </w:p>
    <w:p>
      <w:pPr>
        <w:spacing w:before="120" w:after="80"/>
      </w:pPr>
      <w:r>
        <w:rPr>
          <w:b/>
          <w:color w:val="6D28D9"/>
          <w:sz w:val="30"/>
        </w:rPr>
        <w:t>5.1 Backend Layers</w:t>
      </w:r>
    </w:p>
    <w:p>
      <w:pPr>
        <w:ind w:left="432"/>
      </w:pPr>
      <w:r>
        <w:rPr>
          <w:b/>
          <w:color w:val="6D28D9"/>
          <w:sz w:val="20"/>
        </w:rPr>
        <w:t xml:space="preserve">Routers layer: </w:t>
      </w:r>
      <w:r>
        <w:rPr>
          <w:sz w:val="20"/>
        </w:rPr>
        <w:t>Handles HTTP validation, rate limiting, and orchestrates service calls. Two routers: analysis.py and resume.py.</w:t>
      </w:r>
    </w:p>
    <w:p>
      <w:pPr>
        <w:ind w:left="432"/>
      </w:pPr>
      <w:r>
        <w:rPr>
          <w:b/>
          <w:color w:val="6D28D9"/>
          <w:sz w:val="20"/>
        </w:rPr>
        <w:t xml:space="preserve">Services layer: </w:t>
      </w:r>
      <w:r>
        <w:rPr>
          <w:sz w:val="20"/>
        </w:rPr>
        <w:t>Three services: document_service.py (file parsing), ai_service.py (embeddings + LLM), resume_builder.py (format conversion).</w:t>
      </w:r>
    </w:p>
    <w:p>
      <w:pPr>
        <w:ind w:left="432"/>
      </w:pPr>
      <w:r>
        <w:rPr>
          <w:b/>
          <w:color w:val="6D28D9"/>
          <w:sz w:val="20"/>
        </w:rPr>
        <w:t xml:space="preserve">Database layer: </w:t>
      </w:r>
      <w:r>
        <w:rPr>
          <w:sz w:val="20"/>
        </w:rPr>
        <w:t>Async SQLAlchemy session with connection pool (size=10, max_overflow=20). Single MatchHistory table.</w:t>
      </w:r>
    </w:p>
    <w:p>
      <w:pPr>
        <w:ind w:left="432"/>
      </w:pPr>
      <w:r>
        <w:rPr>
          <w:b/>
          <w:color w:val="6D28D9"/>
          <w:sz w:val="20"/>
        </w:rPr>
        <w:t xml:space="preserve">Config layer: </w:t>
      </w:r>
      <w:r>
        <w:rPr>
          <w:sz w:val="20"/>
        </w:rPr>
        <w:t>Pydantic-settings reads all environment variables — no hardcoded secrets anywhere.</w:t>
      </w:r>
    </w:p>
    <w:p>
      <w:pPr>
        <w:spacing w:before="120" w:after="80"/>
      </w:pPr>
      <w:r>
        <w:rPr>
          <w:b/>
          <w:color w:val="6D28D9"/>
          <w:sz w:val="30"/>
        </w:rPr>
        <w:t>5.2 Frontend Architecture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App Router (Next.js 15) — all pages are React Server Components where possible.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useAnalysis hook — central state machine (idle → uploading → embedding → scoring → reasoning → building_resume → saving → success/error).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XHR-based upload — uses XMLHttpRequest instead of fetch() to get upload progress events.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Component tree: page.tsx → UploadForm + AnalysisDashboard → RadialScore + GapAnalysis + AtsResumeViewer.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Type safety — TypeScript interfaces in types/api.ts mirror Pydantic schemas exactly.</w:t>
      </w:r>
    </w:p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6. End-to-End Data Flow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before="120" w:after="80"/>
      </w:pPr>
      <w:r>
        <w:rPr>
          <w:b/>
          <w:color w:val="6D28D9"/>
          <w:sz w:val="24"/>
        </w:rPr>
        <w:t>Step 1 — File Upload</w:t>
      </w:r>
    </w:p>
    <w:p>
      <w:pPr>
        <w:spacing w:after="60"/>
      </w:pPr>
      <w:r>
        <w:rPr>
          <w:i w:val="0"/>
          <w:sz w:val="21"/>
        </w:rPr>
        <w:t>User selects a PDF, DOCX, or TXT resume and pastes a job description. The frontend validates file type (extension check) and size client-side before sending. The file is transmitted as multipart/form-data via XHR with real-time upload progress events.</w:t>
      </w:r>
    </w:p>
    <w:p/>
    <w:p>
      <w:pPr>
        <w:spacing w:before="120" w:after="80"/>
      </w:pPr>
      <w:r>
        <w:rPr>
          <w:b/>
          <w:color w:val="6D28D9"/>
          <w:sz w:val="24"/>
        </w:rPr>
        <w:t>Step 2 — Text Extraction</w:t>
      </w:r>
    </w:p>
    <w:p>
      <w:pPr>
        <w:spacing w:after="60"/>
      </w:pPr>
      <w:r>
        <w:rPr>
          <w:i w:val="0"/>
          <w:sz w:val="21"/>
        </w:rPr>
        <w:t>document_service.py detects file type from extension and magic bytes. PyMuPDF handles PDFs (in-memory, never written to disk), python-docx handles DOCX (reads paragraphs and table cells), plain decode handles TXT (tries UTF-8, UTF-8-sig, Latin-1, CP1252). Output is cleaned and truncated to 40,000 characters.</w:t>
      </w:r>
    </w:p>
    <w:p/>
    <w:p>
      <w:pPr>
        <w:spacing w:before="120" w:after="80"/>
      </w:pPr>
      <w:r>
        <w:rPr>
          <w:b/>
          <w:color w:val="6D28D9"/>
          <w:sz w:val="24"/>
        </w:rPr>
        <w:t>Step 3 — Embedding Generation</w:t>
      </w:r>
    </w:p>
    <w:p>
      <w:pPr>
        <w:spacing w:after="60"/>
      </w:pPr>
      <w:r>
        <w:rPr>
          <w:i w:val="0"/>
          <w:sz w:val="21"/>
        </w:rPr>
        <w:t>ai_service.py dispatches two concurrent embedding calls (resume → RETRIEVAL_DOCUMENT task, JD → RETRIEVAL_QUERY task) using asyncio.gather(). With Jina: POST to api.jina.ai/v1/embeddings returning 1024-dim float vectors. With Gemini: embed_content() returning 768-dim vectors.</w:t>
      </w:r>
    </w:p>
    <w:p/>
    <w:p>
      <w:pPr>
        <w:spacing w:before="120" w:after="80"/>
      </w:pPr>
      <w:r>
        <w:rPr>
          <w:b/>
          <w:color w:val="6D28D9"/>
          <w:sz w:val="24"/>
        </w:rPr>
        <w:t>Step 4 — Hybrid Scoring</w:t>
      </w:r>
    </w:p>
    <w:p>
      <w:pPr>
        <w:spacing w:after="60"/>
      </w:pPr>
      <w:r>
        <w:rPr>
          <w:i w:val="0"/>
          <w:sz w:val="21"/>
        </w:rPr>
        <w:t>Cosine similarity is computed between the two embedding vectors using NumPy (dot product / product of norms). Separately, a TF-weighted keyword overlap score is computed using unigram + bigram tokenisation (custom stop-word list, no NLTK dependency). Final score = semantic × 0.60 + keyword × 0.40, capped at 100.</w:t>
      </w:r>
    </w:p>
    <w:p/>
    <w:p>
      <w:pPr>
        <w:spacing w:before="120" w:after="80"/>
      </w:pPr>
      <w:r>
        <w:rPr>
          <w:b/>
          <w:color w:val="6D28D9"/>
          <w:sz w:val="24"/>
        </w:rPr>
        <w:t>Step 5 — Gap Analysis</w:t>
      </w:r>
    </w:p>
    <w:p>
      <w:pPr>
        <w:spacing w:after="60"/>
      </w:pPr>
      <w:r>
        <w:rPr>
          <w:i w:val="0"/>
          <w:sz w:val="21"/>
        </w:rPr>
        <w:t>If final score &lt; 85%, Groq/Gemini Flash is called with a structured prompt that includes both texts and the preliminary missing keyword list. The prompt demands a strict JSON response: {missing_skills, improvements, match_summary}. The response is defensively parsed with a regex JSON-extraction fallback.</w:t>
      </w:r>
    </w:p>
    <w:p/>
    <w:p>
      <w:pPr>
        <w:spacing w:before="120" w:after="80"/>
      </w:pPr>
      <w:r>
        <w:rPr>
          <w:b/>
          <w:color w:val="6D28D9"/>
          <w:sz w:val="24"/>
        </w:rPr>
        <w:t>Step 6 — Skill Resources</w:t>
      </w:r>
    </w:p>
    <w:p>
      <w:pPr>
        <w:spacing w:after="60"/>
      </w:pPr>
      <w:r>
        <w:rPr>
          <w:i w:val="0"/>
          <w:sz w:val="21"/>
        </w:rPr>
        <w:t>find_skill_resources() is launched as an asyncio.Task() concurrently while the ATS resume is being built. For each missing skill, Groq/Gemini generates 2–3 curated resource links (YouTube search, Coursera search, official docs). A fallback generates YouTube + Coursera search links if the LLM call fails.</w:t>
      </w:r>
    </w:p>
    <w:p/>
    <w:p>
      <w:pPr>
        <w:spacing w:before="120" w:after="80"/>
      </w:pPr>
      <w:r>
        <w:rPr>
          <w:b/>
          <w:color w:val="6D28D9"/>
          <w:sz w:val="24"/>
        </w:rPr>
        <w:t>Step 7 — ATS Resume Generation</w:t>
      </w:r>
    </w:p>
    <w:p>
      <w:pPr>
        <w:spacing w:after="60"/>
      </w:pPr>
      <w:r>
        <w:rPr>
          <w:i w:val="0"/>
          <w:sz w:val="21"/>
        </w:rPr>
        <w:t>build_ats_resume() sends the original resume + JD to Groq/Gemini with a strict Harvard-format prompt. The model is instructed never to fabricate facts. Output is clean Markdown with section headers (H1 name, H2 sections, H3 role headings, bullet points for achievements).</w:t>
      </w:r>
    </w:p>
    <w:p/>
    <w:p>
      <w:pPr>
        <w:spacing w:before="120" w:after="80"/>
      </w:pPr>
      <w:r>
        <w:rPr>
          <w:b/>
          <w:color w:val="6D28D9"/>
          <w:sz w:val="24"/>
        </w:rPr>
        <w:t>Step 8 — Persistence</w:t>
      </w:r>
    </w:p>
    <w:p>
      <w:pPr>
        <w:spacing w:after="60"/>
      </w:pPr>
      <w:r>
        <w:rPr>
          <w:i w:val="0"/>
          <w:sz w:val="21"/>
        </w:rPr>
        <w:t>All metadata is inserted into the match_history PostgreSQL table: filename, JD snippet, match score, semantic score, keyword score, gap analysis JSON, and the ATS resume Markdown. The auto-incremented ID is returned to the frontend.</w:t>
      </w:r>
    </w:p>
    <w:p/>
    <w:p>
      <w:pPr>
        <w:spacing w:before="120" w:after="80"/>
      </w:pPr>
      <w:r>
        <w:rPr>
          <w:b/>
          <w:color w:val="6D28D9"/>
          <w:sz w:val="24"/>
        </w:rPr>
        <w:t>Step 9 — Response</w:t>
      </w:r>
    </w:p>
    <w:p>
      <w:pPr>
        <w:spacing w:after="60"/>
      </w:pPr>
      <w:r>
        <w:rPr>
          <w:i w:val="0"/>
          <w:sz w:val="21"/>
        </w:rPr>
        <w:t>The full AnalysisResponse JSON is returned. The frontend renders a radial SVG score chart (animated with requestAnimationFrame), the gap accordion with resource links and checkboxes, and the ATS resume viewer with preview/raw toggle.</w:t>
      </w:r>
    </w:p>
    <w:p/>
    <w:p>
      <w:pPr>
        <w:spacing w:before="120" w:after="80"/>
      </w:pPr>
      <w:r>
        <w:rPr>
          <w:b/>
          <w:color w:val="6D28D9"/>
          <w:sz w:val="24"/>
        </w:rPr>
        <w:t>Step 10 — Enhance &amp; Download</w:t>
      </w:r>
    </w:p>
    <w:p>
      <w:pPr>
        <w:spacing w:after="60"/>
      </w:pPr>
      <w:r>
        <w:rPr>
          <w:i w:val="0"/>
          <w:sz w:val="21"/>
        </w:rPr>
        <w:t>User selects missing skills and improvements using checkboxes. Clicking 'Enhance Resume' calls POST /api/v1/resume/enhance — the LLM weaves selected items into the existing ATS resume. Download calls POST /api/v1/resume/download which converts Markdown to the selected format (ReportLab PDF, python-docx DOCX, plain MD, or stripped TXT).</w:t>
      </w:r>
    </w:p>
    <w:p/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7. API Contract</w:t>
      </w:r>
    </w:p>
    <w:p>
      <w:pPr>
        <w:spacing w:before="80" w:after="80"/>
        <w:pBdr>
          <w:bottom w:val="single" w:sz="6" w:space="1" w:color="4F46E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26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26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6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268"/>
            <w:shd w:val="clear" w:color="auto" w:fill="DCFCE7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/api/v1/analyze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multipart/form-data (resume file + job_description)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AnalysisResponse (id, filename, score_breakdown, gap_analysis, ats_resume, created_at)</w:t>
            </w:r>
          </w:p>
        </w:tc>
      </w:tr>
      <w:tr>
        <w:tc>
          <w:tcPr>
            <w:tcW w:type="dxa" w:w="2268"/>
            <w:shd w:val="clear" w:color="auto" w:fill="DCFCE7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/api/v1/resume/enhance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JSON (current_resume, selected_skills, selected_improvements, job_description)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EnhanceResumeResponse (enhanced_resume, provider)</w:t>
            </w:r>
          </w:p>
        </w:tc>
      </w:tr>
      <w:tr>
        <w:tc>
          <w:tcPr>
            <w:tcW w:type="dxa" w:w="2268"/>
            <w:shd w:val="clear" w:color="auto" w:fill="DCFCE7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/api/v1/resume/download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JSON (content, format, filename)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Binary file (PDF / DOCX / MD / TXT)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/api/v1/history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Query params: page, page_size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HistoryResponse (items[], total, page, page_size)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/api/v1/history/{id}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Path param: 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AnalysisResponse (full record)</w:t>
            </w:r>
          </w:p>
        </w:tc>
      </w:tr>
      <w:tr>
        <w:tc>
          <w:tcPr>
            <w:tcW w:type="dxa" w:w="2268"/>
            <w:shd w:val="clear" w:color="auto" w:fill="FEE2E2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/api/v1/history/{id}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Path param: 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204 No Content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{status: ok, version: 1.0.0}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8. Database Schema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Single table: match_history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INTEGER (PK, autoincrement)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Unique record identifier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filename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Uploaded resume filename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job_description_snippet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First 500 chars of JD for history display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match_score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Weighted composite score (0–100)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semantic_score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Cosine similarity score (0–100)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keyword_score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Keyword overlap score (0–100)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gap_analysis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JSON (nullable)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Structured gap report from LLM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ats_resume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TEXT (nullable)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AI-generated ATS resume in Markdown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UTC timestamp of analysis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9. Security Measures</w:t>
      </w:r>
    </w:p>
    <w:p>
      <w:pPr>
        <w:spacing w:before="80" w:after="80"/>
        <w:pBdr>
          <w:bottom w:val="single" w:sz="6" w:space="1" w:color="4F46E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536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CORS Allowlist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Only origins listed in ALLOWED_ORIGINS env var can make cross-origin requests.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Rate Limiting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SlowAPI enforces per-IP rate limits: 10/minute for /analyze, 20/minute for download, 30/minute for history.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File Validation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Magic byte check (not just MIME type), size limit, page count limit, encryption detection.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No Disk I/O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All file processing happens in-memory — no temp files are created, no data leaks to the filesystem.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SQL Injection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SQLAlchemy ORM with parameterised queries — no raw SQL strings.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Error Leakage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Stack traces are only returned in ENVIRONMENT=development. Production returns generic messages.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API Key Security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GEMINI_API_KEY, JINA_API_KEY, GROQ_API_KEY are server-side only — never exposed to the frontend.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Security Headers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X-Content-Type-Options, X-Frame-Options, Referrer-Policy added to every response.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059669"/>
                <w:sz w:val="19"/>
              </w:rPr>
              <w:t>Input Limits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JD capped at 20,000 chars. Resume text truncated to 40,000 chars before any LLM call.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10. Scoring Algorithm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before="120" w:after="80"/>
      </w:pPr>
      <w:r>
        <w:rPr>
          <w:b/>
          <w:color w:val="6D28D9"/>
          <w:sz w:val="30"/>
        </w:rPr>
        <w:t>10.1 Semantic Score (60% weight)</w:t>
      </w:r>
    </w:p>
    <w:p>
      <w:pPr>
        <w:spacing w:after="60"/>
      </w:pPr>
      <w:r>
        <w:rPr>
          <w:i w:val="0"/>
          <w:sz w:val="21"/>
        </w:rPr>
        <w:t>Both the resume and job description are embedded using a high-dimensional embedding model (Jina jina-embeddings-v3: 1024 dimensions, or Gemini text-embedding-004: 768 dimensions). Cosine similarity is computed using NumPy. Resume text uses RETRIEVAL_DOCUMENT task type; JD uses RETRIEVAL_QUERY — this asymmetric pairing improves recall accuracy compared to symmetric embeddings.</w:t>
      </w:r>
    </w:p>
    <w:p>
      <w:pPr>
        <w:spacing w:after="60"/>
      </w:pPr>
      <w:r>
        <w:rPr>
          <w:i/>
          <w:sz w:val="21"/>
        </w:rPr>
        <w:t>Formula: semantic_score = dot(embed_resume, embed_jd) / (||embed_resume|| × ||embed_jd||) × 100</w:t>
      </w:r>
    </w:p>
    <w:p>
      <w:pPr>
        <w:spacing w:before="120" w:after="80"/>
      </w:pPr>
      <w:r>
        <w:rPr>
          <w:b/>
          <w:color w:val="6D28D9"/>
          <w:sz w:val="30"/>
        </w:rPr>
        <w:t>10.2 Keyword Score (40% weight)</w:t>
      </w:r>
    </w:p>
    <w:p>
      <w:pPr>
        <w:spacing w:after="60"/>
      </w:pPr>
      <w:r>
        <w:rPr>
          <w:i w:val="0"/>
          <w:sz w:val="21"/>
        </w:rPr>
        <w:t>Text is tokenised into unigrams and bigrams (e.g., 'machine learning', 'full stack'). A custom stop-word list eliminates noise. Scores are TF-weighted: each JD token contributes proportionally to how frequently it appears. A 1.25× normalisation factor accounts for exact-match strictness vs. fuzzy methods. Result is capped at 100.</w:t>
      </w:r>
    </w:p>
    <w:p>
      <w:pPr>
        <w:spacing w:before="120" w:after="80"/>
      </w:pPr>
      <w:r>
        <w:rPr>
          <w:b/>
          <w:color w:val="6D28D9"/>
          <w:sz w:val="30"/>
        </w:rPr>
        <w:t>10.3 Composite Score</w:t>
      </w:r>
    </w:p>
    <w:p>
      <w:pPr>
        <w:spacing w:after="60"/>
      </w:pPr>
      <w:r>
        <w:rPr>
          <w:i/>
          <w:sz w:val="21"/>
        </w:rPr>
        <w:t>final = (semantic × 0.60) + (keyword × 0.40)</w:t>
      </w:r>
    </w:p>
    <w:p>
      <w:pPr>
        <w:spacing w:after="60"/>
      </w:pPr>
      <w:r>
        <w:rPr>
          <w:i w:val="0"/>
          <w:sz w:val="21"/>
        </w:rPr>
        <w:t>Both weights are configurable via environment variables (SEMANTIC_WEIGHT / KEYWORD_WEIGHT). Gap analysis is only triggered when the final score is below the GAP_ANALYSIS_THRESHOLD (default: 85%).</w:t>
      </w:r>
    </w:p>
    <w:p>
      <w:r>
        <w:br w:type="page"/>
      </w:r>
    </w:p>
    <w:p>
      <w:pPr>
        <w:spacing w:before="200" w:after="80"/>
      </w:pPr>
      <w:r>
        <w:rPr>
          <w:b/>
          <w:color w:val="4F46E5"/>
          <w:sz w:val="40"/>
        </w:rPr>
        <w:t>11. AI Provider Strategy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after="60"/>
      </w:pPr>
      <w:r>
        <w:rPr>
          <w:i w:val="0"/>
          <w:sz w:val="21"/>
        </w:rPr>
        <w:t>AlignAI supports two fully interchangeable AI provider tiers. The active provider is selected automatically at startup based on which API keys are present in the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3024"/>
            <w:shd w:val="clear" w:color="auto" w:fill="334A6F"/>
          </w:tcPr>
          <w:p>
            <w:r>
              <w:rPr>
                <w:b/>
                <w:color w:val="FFFFFF"/>
                <w:sz w:val="20"/>
              </w:rPr>
              <w:t>Paid Tier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Embeddings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Jina AI — jina-embeddings-v3 (1024-dim, 1M free tokens/month)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Google Gemini — text-embedding-004 (768-dim)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Generation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Groq — LLaMA-3.3-70b-versatile (very fast, generous free limits)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Google Gemini — gemini-1.5-flash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Free — no credit card needed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Pay per token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Setup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JINA_API_KEY + GROQ_API_KEY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GEMINI_API_KEY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19"/>
              </w:rPr>
              <w:t>Auto-select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AI_PROVIDER=auto and GEMINI_API_KEY is blank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AI_PROVIDER=auto and GEMINI_API_KEY is set</w:t>
            </w:r>
          </w:p>
        </w:tc>
      </w:tr>
    </w:tbl>
    <w:p/>
    <w:p>
      <w:pPr>
        <w:spacing w:before="200" w:after="80"/>
      </w:pPr>
      <w:r>
        <w:rPr>
          <w:b/>
          <w:color w:val="4F46E5"/>
          <w:sz w:val="40"/>
        </w:rPr>
        <w:t>12. Deployment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before="120" w:after="80"/>
      </w:pPr>
      <w:r>
        <w:rPr>
          <w:b/>
          <w:color w:val="6D28D9"/>
          <w:sz w:val="30"/>
        </w:rPr>
        <w:t>12.1 Local Development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Clone repository and copy .env.example → .env in backend/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Set JINA_API_KEY and GROQ_API_KEY (free) or GEMINI_API_KEY (paid)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Run: pip install -r backend/requirements.txt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Run: uvicorn backend.main:app --reload --port 8000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In another terminal: cd frontend &amp;&amp; npm install &amp;&amp; npm run dev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Visit http://localhost:3000</w:t>
      </w:r>
    </w:p>
    <w:p>
      <w:pPr>
        <w:spacing w:before="120" w:after="80"/>
      </w:pPr>
      <w:r>
        <w:rPr>
          <w:b/>
          <w:color w:val="6D28D9"/>
          <w:sz w:val="30"/>
        </w:rPr>
        <w:t>12.2 Docker Compose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docker compose up --build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Starts PostgreSQL 17 (with health check), FastAPI backend, and Next.js frontend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All services on the same Docker network — backend connects to postgres:5432</w:t>
      </w:r>
    </w:p>
    <w:p>
      <w:pPr>
        <w:spacing w:before="120" w:after="80"/>
      </w:pPr>
      <w:r>
        <w:rPr>
          <w:b/>
          <w:color w:val="6D28D9"/>
          <w:sz w:val="30"/>
        </w:rPr>
        <w:t>12.3 Production Checklist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Set ENVIRONMENT=production to disable /docs and /redoc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Set ALLOWED_ORIGINS to your production domain only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Use a secrets manager (AWS Secrets Manager / GCP Secret Manager) for API keys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Configure HTTPS via Nginx + Let's Encrypt or a cloud load balancer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Add PostgreSQL backup strategy for match_history</w:t>
      </w:r>
    </w:p>
    <w:p>
      <w:pPr>
        <w:pStyle w:val="ListBullet"/>
        <w:spacing w:after="40"/>
        <w:ind w:left="360"/>
      </w:pPr>
      <w:r>
        <w:rPr>
          <w:color w:val="0F172A"/>
          <w:sz w:val="20"/>
        </w:rPr>
        <w:t>Consider PgBouncer connection pooling for high traffic</w:t>
      </w:r>
    </w:p>
    <w:p>
      <w:pPr>
        <w:spacing w:before="200" w:after="80"/>
      </w:pPr>
      <w:r>
        <w:rPr>
          <w:b/>
          <w:color w:val="4F46E5"/>
          <w:sz w:val="40"/>
        </w:rPr>
        <w:t>13. Limitations &amp; Future Work</w:t>
      </w:r>
    </w:p>
    <w:p>
      <w:pPr>
        <w:spacing w:before="80" w:after="80"/>
        <w:pBdr>
          <w:bottom w:val="single" w:sz="6" w:space="1" w:color="4F46E5"/>
        </w:pBdr>
      </w:pPr>
    </w:p>
    <w:p>
      <w:pPr>
        <w:spacing w:before="120" w:after="80"/>
      </w:pPr>
      <w:r>
        <w:rPr>
          <w:b/>
          <w:color w:val="D97706"/>
          <w:sz w:val="30"/>
        </w:rPr>
        <w:t>Current Limitations</w:t>
      </w:r>
    </w:p>
    <w:p>
      <w:pPr>
        <w:pStyle w:val="ListBullet"/>
        <w:spacing w:after="40"/>
        <w:ind w:left="360"/>
      </w:pPr>
      <w:r>
        <w:rPr>
          <w:color w:val="D97706"/>
          <w:sz w:val="20"/>
        </w:rPr>
        <w:t>Scanned/image-only PDFs cannot be parsed (no OCR) — candidates must use text-based PDFs.</w:t>
      </w:r>
    </w:p>
    <w:p>
      <w:pPr>
        <w:pStyle w:val="ListBullet"/>
        <w:spacing w:after="40"/>
        <w:ind w:left="360"/>
      </w:pPr>
      <w:r>
        <w:rPr>
          <w:color w:val="D97706"/>
          <w:sz w:val="20"/>
        </w:rPr>
        <w:t>Score simulation on the frontend is time-based, not server-event-based (no WebSocket).</w:t>
      </w:r>
    </w:p>
    <w:p>
      <w:pPr>
        <w:pStyle w:val="ListBullet"/>
        <w:spacing w:after="40"/>
        <w:ind w:left="360"/>
      </w:pPr>
      <w:r>
        <w:rPr>
          <w:color w:val="D97706"/>
          <w:sz w:val="20"/>
        </w:rPr>
        <w:t>No user authentication — all history is shared (suitable for single-user or demo deployment).</w:t>
      </w:r>
    </w:p>
    <w:p>
      <w:pPr>
        <w:pStyle w:val="ListBullet"/>
        <w:spacing w:after="40"/>
        <w:ind w:left="360"/>
      </w:pPr>
      <w:r>
        <w:rPr>
          <w:color w:val="D97706"/>
          <w:sz w:val="20"/>
        </w:rPr>
        <w:t>PDF output uses ReportLab's core fonts — no custom font embedding for branded output.</w:t>
      </w:r>
    </w:p>
    <w:p>
      <w:pPr>
        <w:spacing w:before="120" w:after="80"/>
      </w:pPr>
      <w:r>
        <w:rPr>
          <w:b/>
          <w:color w:val="059669"/>
          <w:sz w:val="30"/>
        </w:rPr>
        <w:t>Planned Enhancements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OCR support via Tesseract for scanned PDF resumes.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WebSocket progress events for real-time server-side pipeline status.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User authentication (OAuth2 / JWT) for multi-user history isolation.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Resume template selector for PDF output (multiple visual themes).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Batch analysis — compare one resume against multiple JDs simultaneously.</w:t>
      </w:r>
    </w:p>
    <w:p>
      <w:pPr>
        <w:pStyle w:val="ListBullet"/>
        <w:spacing w:after="40"/>
        <w:ind w:left="360"/>
      </w:pPr>
      <w:r>
        <w:rPr>
          <w:color w:val="059669"/>
          <w:sz w:val="20"/>
        </w:rPr>
        <w:t>Cover letter generator using the same resume + JD context.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