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2304"/>
        <w:gridCol w:w="7200"/>
      </w:tblGrid>
      <w:tr w:rsidR="009C0B43" w14:paraId="4C315378" w14:textId="77777777">
        <w:tc>
          <w:tcPr>
            <w:tcW w:w="2304" w:type="dxa"/>
            <w:tcBorders>
              <w:top w:val="nil"/>
              <w:left w:val="nil"/>
              <w:bottom w:val="nil"/>
              <w:right w:val="nil"/>
            </w:tcBorders>
          </w:tcPr>
          <w:p w14:paraId="340A15FF" w14:textId="77777777" w:rsidR="009C0B43" w:rsidRDefault="00A70B77">
            <w:r>
              <w:rPr>
                <w:noProof/>
              </w:rPr>
              <w:drawing>
                <wp:inline distT="0" distB="0" distL="0" distR="0" wp14:anchorId="10C6643A" wp14:editId="572DAE6C">
                  <wp:extent cx="662940" cy="791844"/>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7171" cy="1035786"/>
                          </a:xfrm>
                          <a:prstGeom prst="rect">
                            <a:avLst/>
                          </a:prstGeom>
                          <a:noFill/>
                          <a:ln>
                            <a:noFill/>
                          </a:ln>
                        </pic:spPr>
                      </pic:pic>
                    </a:graphicData>
                  </a:graphic>
                </wp:inline>
              </w:drawing>
            </w:r>
          </w:p>
        </w:tc>
        <w:tc>
          <w:tcPr>
            <w:tcW w:w="7200" w:type="dxa"/>
            <w:tcBorders>
              <w:top w:val="nil"/>
              <w:left w:val="nil"/>
              <w:bottom w:val="nil"/>
              <w:right w:val="nil"/>
            </w:tcBorders>
          </w:tcPr>
          <w:p w14:paraId="01FAA92A" w14:textId="77777777" w:rsidR="009C0B43" w:rsidRDefault="009C0B43"/>
          <w:p w14:paraId="0838555A" w14:textId="77777777" w:rsidR="002F1EFC" w:rsidRDefault="00CD7A2E">
            <w:pPr>
              <w:pStyle w:val="Title"/>
              <w:spacing w:before="100" w:after="60"/>
              <w:jc w:val="center"/>
            </w:pPr>
            <w:r>
              <w:rPr>
                <w:sz w:val="42"/>
              </w:rPr>
              <w:t>APPLE INC.</w:t>
            </w:r>
          </w:p>
          <w:p w14:paraId="742F0DCC" w14:textId="77777777" w:rsidR="002F1EFC" w:rsidRDefault="00000000">
            <w:pPr>
              <w:spacing w:after="240"/>
              <w:jc w:val="center"/>
            </w:pPr>
            <w:r>
              <w:t>Equity Research Investment Thesis | AAPL | NASDAQ</w:t>
            </w:r>
          </w:p>
        </w:tc>
      </w:tr>
    </w:tbl>
    <w:p w14:paraId="1B5C03C7" w14:textId="77777777" w:rsidR="002F1EFC" w:rsidRDefault="00000000">
      <w:pPr>
        <w:pStyle w:val="Heading2"/>
      </w:pPr>
      <w:r>
        <w:t>Investment View | HOLD (model-based, conditional)</w:t>
      </w:r>
    </w:p>
    <w:p w14:paraId="3409B353" w14:textId="77777777" w:rsidR="002F1EFC" w:rsidRDefault="00000000">
      <w:r>
        <w:t>Apple has a broad hardware and services business. Apple’s financial performance shows meaningful services growth, while its valuation depends heavily on the terminal-value method. The primary exit-multiple DCF value is below the October 8, 2026 price. A HOLD is therefore a cautious interpretation of our valuation model, not an independent live-price recommendation. No updated market price or external consensus estimates were used.</w:t>
      </w:r>
    </w:p>
    <w:tbl>
      <w:tblPr>
        <w:tblStyle w:val="LightShading-Accent1"/>
        <w:tblW w:w="0" w:type="auto"/>
        <w:tblLook w:val="04A0" w:firstRow="1" w:lastRow="0" w:firstColumn="1" w:lastColumn="0" w:noHBand="0" w:noVBand="1"/>
      </w:tblPr>
      <w:tblGrid>
        <w:gridCol w:w="4320"/>
        <w:gridCol w:w="4320"/>
      </w:tblGrid>
      <w:tr w:rsidR="002F1EFC" w14:paraId="2FF080A2" w14:textId="77777777" w:rsidTr="002F1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70369B"/>
          </w:tcPr>
          <w:p w14:paraId="73313C4F" w14:textId="77777777" w:rsidR="002F1EFC" w:rsidRDefault="00000000">
            <w:r>
              <w:rPr>
                <w:color w:val="FFFFFF"/>
              </w:rPr>
              <w:t>Key measure</w:t>
            </w:r>
          </w:p>
        </w:tc>
        <w:tc>
          <w:tcPr>
            <w:tcW w:w="4320" w:type="dxa"/>
            <w:shd w:val="clear" w:color="auto" w:fill="70369B"/>
          </w:tcPr>
          <w:p w14:paraId="42E395A4" w14:textId="77777777" w:rsidR="002F1EFC" w:rsidRDefault="00000000">
            <w:pPr>
              <w:cnfStyle w:val="100000000000" w:firstRow="1" w:lastRow="0" w:firstColumn="0" w:lastColumn="0" w:oddVBand="0" w:evenVBand="0" w:oddHBand="0" w:evenHBand="0" w:firstRowFirstColumn="0" w:firstRowLastColumn="0" w:lastRowFirstColumn="0" w:lastRowLastColumn="0"/>
            </w:pPr>
            <w:r>
              <w:rPr>
                <w:color w:val="FFFFFF"/>
              </w:rPr>
              <w:t>Value / basis</w:t>
            </w:r>
          </w:p>
        </w:tc>
      </w:tr>
      <w:tr w:rsidR="002F1EFC" w14:paraId="3C7AF662" w14:textId="77777777" w:rsidTr="002F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838857" w14:textId="77777777" w:rsidR="002F1EFC" w:rsidRDefault="00000000">
            <w:r>
              <w:t>Reference share price</w:t>
            </w:r>
          </w:p>
        </w:tc>
        <w:tc>
          <w:tcPr>
            <w:tcW w:w="4320" w:type="dxa"/>
          </w:tcPr>
          <w:p w14:paraId="29124201" w14:textId="77777777" w:rsidR="002F1EFC" w:rsidRDefault="00000000">
            <w:pPr>
              <w:cnfStyle w:val="000000100000" w:firstRow="0" w:lastRow="0" w:firstColumn="0" w:lastColumn="0" w:oddVBand="0" w:evenVBand="0" w:oddHBand="1" w:evenHBand="0" w:firstRowFirstColumn="0" w:firstRowLastColumn="0" w:lastRowFirstColumn="0" w:lastRowLastColumn="0"/>
            </w:pPr>
            <w:r>
              <w:t>$340.42 | model pricing date: 8 October 2026</w:t>
            </w:r>
          </w:p>
        </w:tc>
      </w:tr>
      <w:tr w:rsidR="002F1EFC" w14:paraId="18B4C447" w14:textId="77777777" w:rsidTr="002F1EFC">
        <w:tc>
          <w:tcPr>
            <w:cnfStyle w:val="001000000000" w:firstRow="0" w:lastRow="0" w:firstColumn="1" w:lastColumn="0" w:oddVBand="0" w:evenVBand="0" w:oddHBand="0" w:evenHBand="0" w:firstRowFirstColumn="0" w:firstRowLastColumn="0" w:lastRowFirstColumn="0" w:lastRowLastColumn="0"/>
            <w:tcW w:w="4320" w:type="dxa"/>
          </w:tcPr>
          <w:p w14:paraId="544AD528" w14:textId="77777777" w:rsidR="002F1EFC" w:rsidRDefault="00000000">
            <w:r>
              <w:t>Exit-multiple DCF, rolled forward</w:t>
            </w:r>
          </w:p>
        </w:tc>
        <w:tc>
          <w:tcPr>
            <w:tcW w:w="4320" w:type="dxa"/>
          </w:tcPr>
          <w:p w14:paraId="55E04B47" w14:textId="77777777" w:rsidR="002F1EFC" w:rsidRDefault="00000000">
            <w:pPr>
              <w:cnfStyle w:val="000000000000" w:firstRow="0" w:lastRow="0" w:firstColumn="0" w:lastColumn="0" w:oddVBand="0" w:evenVBand="0" w:oddHBand="0" w:evenHBand="0" w:firstRowFirstColumn="0" w:firstRowLastColumn="0" w:lastRowFirstColumn="0" w:lastRowLastColumn="0"/>
            </w:pPr>
            <w:r>
              <w:t>$317.79 per share | 6.6% downside</w:t>
            </w:r>
          </w:p>
        </w:tc>
      </w:tr>
      <w:tr w:rsidR="002F1EFC" w14:paraId="67016F72" w14:textId="77777777" w:rsidTr="002F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DA9754" w14:textId="77777777" w:rsidR="002F1EFC" w:rsidRDefault="00000000">
            <w:r>
              <w:t>Perpetuity DCF, rolled forward</w:t>
            </w:r>
          </w:p>
        </w:tc>
        <w:tc>
          <w:tcPr>
            <w:tcW w:w="4320" w:type="dxa"/>
          </w:tcPr>
          <w:p w14:paraId="01EC72EC" w14:textId="77777777" w:rsidR="002F1EFC" w:rsidRDefault="00000000">
            <w:pPr>
              <w:cnfStyle w:val="000000100000" w:firstRow="0" w:lastRow="0" w:firstColumn="0" w:lastColumn="0" w:oddVBand="0" w:evenVBand="0" w:oddHBand="1" w:evenHBand="0" w:firstRowFirstColumn="0" w:firstRowLastColumn="0" w:lastRowFirstColumn="0" w:lastRowLastColumn="0"/>
            </w:pPr>
            <w:r>
              <w:t>$147.41 per share | 56.7% downside</w:t>
            </w:r>
          </w:p>
        </w:tc>
      </w:tr>
      <w:tr w:rsidR="002F1EFC" w14:paraId="149E1C1F" w14:textId="77777777" w:rsidTr="002F1EFC">
        <w:tc>
          <w:tcPr>
            <w:cnfStyle w:val="001000000000" w:firstRow="0" w:lastRow="0" w:firstColumn="1" w:lastColumn="0" w:oddVBand="0" w:evenVBand="0" w:oddHBand="0" w:evenHBand="0" w:firstRowFirstColumn="0" w:firstRowLastColumn="0" w:lastRowFirstColumn="0" w:lastRowLastColumn="0"/>
            <w:tcW w:w="4320" w:type="dxa"/>
          </w:tcPr>
          <w:p w14:paraId="3D1D4C99" w14:textId="77777777" w:rsidR="002F1EFC" w:rsidRDefault="00000000">
            <w:r>
              <w:t>Model WACC</w:t>
            </w:r>
          </w:p>
        </w:tc>
        <w:tc>
          <w:tcPr>
            <w:tcW w:w="4320" w:type="dxa"/>
          </w:tcPr>
          <w:p w14:paraId="28104E71" w14:textId="77777777" w:rsidR="002F1EFC" w:rsidRDefault="00000000">
            <w:pPr>
              <w:cnfStyle w:val="000000000000" w:firstRow="0" w:lastRow="0" w:firstColumn="0" w:lastColumn="0" w:oddVBand="0" w:evenVBand="0" w:oddHBand="0" w:evenHBand="0" w:firstRowFirstColumn="0" w:firstRowLastColumn="0" w:lastRowFirstColumn="0" w:lastRowLastColumn="0"/>
            </w:pPr>
            <w:r>
              <w:t>10.08%</w:t>
            </w:r>
          </w:p>
        </w:tc>
      </w:tr>
      <w:tr w:rsidR="002F1EFC" w14:paraId="714A5E8C" w14:textId="77777777" w:rsidTr="002F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A9874A" w14:textId="77777777" w:rsidR="002F1EFC" w:rsidRDefault="00000000">
            <w:r>
              <w:t>Exit EV / EBITDA</w:t>
            </w:r>
          </w:p>
        </w:tc>
        <w:tc>
          <w:tcPr>
            <w:tcW w:w="4320" w:type="dxa"/>
          </w:tcPr>
          <w:p w14:paraId="52B7D3EF" w14:textId="77777777" w:rsidR="002F1EFC" w:rsidRDefault="00000000">
            <w:pPr>
              <w:cnfStyle w:val="000000100000" w:firstRow="0" w:lastRow="0" w:firstColumn="0" w:lastColumn="0" w:oddVBand="0" w:evenVBand="0" w:oddHBand="1" w:evenHBand="0" w:firstRowFirstColumn="0" w:firstRowLastColumn="0" w:lastRowFirstColumn="0" w:lastRowLastColumn="0"/>
            </w:pPr>
            <w:r>
              <w:t>29.38x</w:t>
            </w:r>
          </w:p>
        </w:tc>
      </w:tr>
      <w:tr w:rsidR="002F1EFC" w14:paraId="1AD7468A" w14:textId="77777777" w:rsidTr="002F1EFC">
        <w:tc>
          <w:tcPr>
            <w:cnfStyle w:val="001000000000" w:firstRow="0" w:lastRow="0" w:firstColumn="1" w:lastColumn="0" w:oddVBand="0" w:evenVBand="0" w:oddHBand="0" w:evenHBand="0" w:firstRowFirstColumn="0" w:firstRowLastColumn="0" w:lastRowFirstColumn="0" w:lastRowLastColumn="0"/>
            <w:tcW w:w="4320" w:type="dxa"/>
          </w:tcPr>
          <w:p w14:paraId="4D1A222F" w14:textId="77777777" w:rsidR="002F1EFC" w:rsidRDefault="00000000">
            <w:r>
              <w:t>Perpetual growth</w:t>
            </w:r>
          </w:p>
        </w:tc>
        <w:tc>
          <w:tcPr>
            <w:tcW w:w="4320" w:type="dxa"/>
          </w:tcPr>
          <w:p w14:paraId="7E9E52B1" w14:textId="77777777" w:rsidR="002F1EFC" w:rsidRDefault="00000000">
            <w:pPr>
              <w:cnfStyle w:val="000000000000" w:firstRow="0" w:lastRow="0" w:firstColumn="0" w:lastColumn="0" w:oddVBand="0" w:evenVBand="0" w:oddHBand="0" w:evenHBand="0" w:firstRowFirstColumn="0" w:firstRowLastColumn="0" w:lastRowFirstColumn="0" w:lastRowLastColumn="0"/>
            </w:pPr>
            <w:r>
              <w:t>3.0%</w:t>
            </w:r>
          </w:p>
        </w:tc>
      </w:tr>
      <w:tr w:rsidR="002F1EFC" w14:paraId="1F80BEEF" w14:textId="77777777" w:rsidTr="002F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9E7E2" w14:textId="77777777" w:rsidR="002F1EFC" w:rsidRDefault="00000000">
            <w:r>
              <w:t>Forecast period</w:t>
            </w:r>
          </w:p>
        </w:tc>
        <w:tc>
          <w:tcPr>
            <w:tcW w:w="4320" w:type="dxa"/>
          </w:tcPr>
          <w:p w14:paraId="2A01BB72" w14:textId="77777777" w:rsidR="002F1EFC" w:rsidRDefault="00000000">
            <w:pPr>
              <w:cnfStyle w:val="000000100000" w:firstRow="0" w:lastRow="0" w:firstColumn="0" w:lastColumn="0" w:oddVBand="0" w:evenVBand="0" w:oddHBand="1" w:evenHBand="0" w:firstRowFirstColumn="0" w:firstRowLastColumn="0" w:lastRowFirstColumn="0" w:lastRowLastColumn="0"/>
            </w:pPr>
            <w:r>
              <w:t>FY2026E–FY2030E</w:t>
            </w:r>
          </w:p>
        </w:tc>
      </w:tr>
    </w:tbl>
    <w:p w14:paraId="2929AB58" w14:textId="77777777" w:rsidR="009C0B43" w:rsidRDefault="00000000">
      <w:pPr>
        <w:spacing w:before="40" w:after="100"/>
      </w:pPr>
      <w:r>
        <w:rPr>
          <w:i/>
          <w:color w:val="5F5F5F"/>
          <w:sz w:val="15"/>
        </w:rPr>
        <w:t>Source: aApple DCF(4).xlsx, Valuation; model assumptions and pricing outputs.</w:t>
      </w:r>
    </w:p>
    <w:p w14:paraId="3E9F249D" w14:textId="77777777" w:rsidR="002F1EFC" w:rsidRDefault="00000000">
      <w:pPr>
        <w:pStyle w:val="Heading1"/>
      </w:pPr>
      <w:r>
        <w:t>Thesis in Three Points</w:t>
      </w:r>
    </w:p>
    <w:p w14:paraId="7A4C661C" w14:textId="77777777" w:rsidR="002F1EFC" w:rsidRDefault="00000000">
      <w:r>
        <w:t>1. Services is an important source of growth. Apple’s Services revenue increased from $96.17bn in FY2024 to $109.16bn in FY2025. This supports a growing recurring-revenue component, although the available segment disclosures do not establish the profitability of every individual service.</w:t>
      </w:r>
    </w:p>
    <w:p w14:paraId="5FF64086" w14:textId="77777777" w:rsidR="002F1EFC" w:rsidRDefault="00000000">
      <w:r>
        <w:t>2. Hardware remains economically central. iPhone revenue of $209.59bn in FY2025 is far larger than any other single product line in Apple’s revenue mix. Apple remains exposed to the replacement cycle, consumer spending and premium-device demand.</w:t>
      </w:r>
    </w:p>
    <w:p w14:paraId="0516345E" w14:textId="77777777" w:rsidR="002F1EFC" w:rsidRDefault="00000000">
      <w:r>
        <w:t>3. Valuation leaves little room for error. The exit-multiple valuation is closer to the reference price than the perpetuity method. The wide gap signals major terminal-assumption risk rather than a narrow, reliable fair-value range.</w:t>
      </w:r>
    </w:p>
    <w:p w14:paraId="3FE3ABE7" w14:textId="77777777" w:rsidR="002F1EFC" w:rsidRDefault="00000000">
      <w:pPr>
        <w:pStyle w:val="Heading1"/>
      </w:pPr>
      <w:r>
        <w:t>1. Business Model and Revenue Mix</w:t>
      </w:r>
    </w:p>
    <w:p w14:paraId="1C4687C6" w14:textId="77777777" w:rsidR="006A658D" w:rsidRDefault="00000000">
      <w:r>
        <w:t>Apple combines premium hardware with an integrated software and Services ecosystem. iPhone remains the largest product line, while Mac, iPad, wearables and Services provide additional customer relationships and revenue opportunities. The investment question is whether growth in Services and newer markets can offset dependence on iPhone upgrades.</w:t>
      </w:r>
    </w:p>
    <w:tbl>
      <w:tblPr>
        <w:tblStyle w:val="LightShading-Accent1"/>
        <w:tblW w:w="0" w:type="auto"/>
        <w:tblLook w:val="04A0" w:firstRow="1" w:lastRow="0" w:firstColumn="1" w:lastColumn="0" w:noHBand="0" w:noVBand="1"/>
      </w:tblPr>
      <w:tblGrid>
        <w:gridCol w:w="2160"/>
        <w:gridCol w:w="2160"/>
        <w:gridCol w:w="2160"/>
        <w:gridCol w:w="2160"/>
      </w:tblGrid>
      <w:tr w:rsidR="002F1EFC" w14:paraId="0B63B952" w14:textId="77777777" w:rsidTr="002F1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70369B"/>
          </w:tcPr>
          <w:p w14:paraId="58D37C03" w14:textId="77777777" w:rsidR="002F1EFC" w:rsidRDefault="00000000">
            <w:r>
              <w:rPr>
                <w:color w:val="FFFFFF"/>
              </w:rPr>
              <w:t>Product line</w:t>
            </w:r>
          </w:p>
        </w:tc>
        <w:tc>
          <w:tcPr>
            <w:tcW w:w="2160" w:type="dxa"/>
            <w:shd w:val="clear" w:color="auto" w:fill="70369B"/>
          </w:tcPr>
          <w:p w14:paraId="44496B10" w14:textId="77777777" w:rsidR="002F1EFC" w:rsidRDefault="00000000">
            <w:pPr>
              <w:cnfStyle w:val="100000000000" w:firstRow="1" w:lastRow="0" w:firstColumn="0" w:lastColumn="0" w:oddVBand="0" w:evenVBand="0" w:oddHBand="0" w:evenHBand="0" w:firstRowFirstColumn="0" w:firstRowLastColumn="0" w:lastRowFirstColumn="0" w:lastRowLastColumn="0"/>
            </w:pPr>
            <w:r>
              <w:rPr>
                <w:color w:val="FFFFFF"/>
              </w:rPr>
              <w:t>FY2024A</w:t>
            </w:r>
          </w:p>
        </w:tc>
        <w:tc>
          <w:tcPr>
            <w:tcW w:w="2160" w:type="dxa"/>
            <w:shd w:val="clear" w:color="auto" w:fill="70369B"/>
          </w:tcPr>
          <w:p w14:paraId="4F9D14D6" w14:textId="77777777" w:rsidR="002F1EFC" w:rsidRDefault="00000000">
            <w:pPr>
              <w:cnfStyle w:val="100000000000" w:firstRow="1" w:lastRow="0" w:firstColumn="0" w:lastColumn="0" w:oddVBand="0" w:evenVBand="0" w:oddHBand="0" w:evenHBand="0" w:firstRowFirstColumn="0" w:firstRowLastColumn="0" w:lastRowFirstColumn="0" w:lastRowLastColumn="0"/>
            </w:pPr>
            <w:r>
              <w:rPr>
                <w:color w:val="FFFFFF"/>
              </w:rPr>
              <w:t>FY2025A</w:t>
            </w:r>
          </w:p>
        </w:tc>
        <w:tc>
          <w:tcPr>
            <w:tcW w:w="2160" w:type="dxa"/>
            <w:shd w:val="clear" w:color="auto" w:fill="70369B"/>
          </w:tcPr>
          <w:p w14:paraId="58352F48" w14:textId="77777777" w:rsidR="002F1EFC" w:rsidRDefault="00000000">
            <w:pPr>
              <w:cnfStyle w:val="100000000000" w:firstRow="1" w:lastRow="0" w:firstColumn="0" w:lastColumn="0" w:oddVBand="0" w:evenVBand="0" w:oddHBand="0" w:evenHBand="0" w:firstRowFirstColumn="0" w:firstRowLastColumn="0" w:lastRowFirstColumn="0" w:lastRowLastColumn="0"/>
            </w:pPr>
            <w:r>
              <w:rPr>
                <w:color w:val="FFFFFF"/>
              </w:rPr>
              <w:t>Growth</w:t>
            </w:r>
          </w:p>
        </w:tc>
      </w:tr>
      <w:tr w:rsidR="002F1EFC" w14:paraId="07C3BD2F" w14:textId="77777777" w:rsidTr="002F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C9424E" w14:textId="77777777" w:rsidR="002F1EFC" w:rsidRDefault="00000000">
            <w:r>
              <w:t>iPhone</w:t>
            </w:r>
          </w:p>
        </w:tc>
        <w:tc>
          <w:tcPr>
            <w:tcW w:w="2160" w:type="dxa"/>
          </w:tcPr>
          <w:p w14:paraId="430150B3" w14:textId="77777777" w:rsidR="002F1EFC" w:rsidRDefault="00000000">
            <w:pPr>
              <w:cnfStyle w:val="000000100000" w:firstRow="0" w:lastRow="0" w:firstColumn="0" w:lastColumn="0" w:oddVBand="0" w:evenVBand="0" w:oddHBand="1" w:evenHBand="0" w:firstRowFirstColumn="0" w:firstRowLastColumn="0" w:lastRowFirstColumn="0" w:lastRowLastColumn="0"/>
            </w:pPr>
            <w:r>
              <w:t>$201.2bn</w:t>
            </w:r>
          </w:p>
        </w:tc>
        <w:tc>
          <w:tcPr>
            <w:tcW w:w="2160" w:type="dxa"/>
          </w:tcPr>
          <w:p w14:paraId="2481BCDE" w14:textId="77777777" w:rsidR="002F1EFC" w:rsidRDefault="00000000">
            <w:pPr>
              <w:cnfStyle w:val="000000100000" w:firstRow="0" w:lastRow="0" w:firstColumn="0" w:lastColumn="0" w:oddVBand="0" w:evenVBand="0" w:oddHBand="1" w:evenHBand="0" w:firstRowFirstColumn="0" w:firstRowLastColumn="0" w:lastRowFirstColumn="0" w:lastRowLastColumn="0"/>
            </w:pPr>
            <w:r>
              <w:t>$209.6bn</w:t>
            </w:r>
          </w:p>
        </w:tc>
        <w:tc>
          <w:tcPr>
            <w:tcW w:w="2160" w:type="dxa"/>
          </w:tcPr>
          <w:p w14:paraId="20376253" w14:textId="77777777" w:rsidR="002F1EFC" w:rsidRDefault="00000000">
            <w:pPr>
              <w:cnfStyle w:val="000000100000" w:firstRow="0" w:lastRow="0" w:firstColumn="0" w:lastColumn="0" w:oddVBand="0" w:evenVBand="0" w:oddHBand="1" w:evenHBand="0" w:firstRowFirstColumn="0" w:firstRowLastColumn="0" w:lastRowFirstColumn="0" w:lastRowLastColumn="0"/>
            </w:pPr>
            <w:r>
              <w:t>4.2%</w:t>
            </w:r>
          </w:p>
        </w:tc>
      </w:tr>
      <w:tr w:rsidR="002F1EFC" w14:paraId="4D267761" w14:textId="77777777" w:rsidTr="002F1EFC">
        <w:tc>
          <w:tcPr>
            <w:cnfStyle w:val="001000000000" w:firstRow="0" w:lastRow="0" w:firstColumn="1" w:lastColumn="0" w:oddVBand="0" w:evenVBand="0" w:oddHBand="0" w:evenHBand="0" w:firstRowFirstColumn="0" w:firstRowLastColumn="0" w:lastRowFirstColumn="0" w:lastRowLastColumn="0"/>
            <w:tcW w:w="2160" w:type="dxa"/>
          </w:tcPr>
          <w:p w14:paraId="7B3D5BEF" w14:textId="77777777" w:rsidR="002F1EFC" w:rsidRDefault="00000000">
            <w:r>
              <w:t>Mac</w:t>
            </w:r>
          </w:p>
        </w:tc>
        <w:tc>
          <w:tcPr>
            <w:tcW w:w="2160" w:type="dxa"/>
          </w:tcPr>
          <w:p w14:paraId="7BFCD1F0" w14:textId="77777777" w:rsidR="002F1EFC" w:rsidRDefault="00000000">
            <w:pPr>
              <w:cnfStyle w:val="000000000000" w:firstRow="0" w:lastRow="0" w:firstColumn="0" w:lastColumn="0" w:oddVBand="0" w:evenVBand="0" w:oddHBand="0" w:evenHBand="0" w:firstRowFirstColumn="0" w:firstRowLastColumn="0" w:lastRowFirstColumn="0" w:lastRowLastColumn="0"/>
            </w:pPr>
            <w:r>
              <w:t>$30.0bn</w:t>
            </w:r>
          </w:p>
        </w:tc>
        <w:tc>
          <w:tcPr>
            <w:tcW w:w="2160" w:type="dxa"/>
          </w:tcPr>
          <w:p w14:paraId="2D0ED69B" w14:textId="77777777" w:rsidR="002F1EFC" w:rsidRDefault="00000000">
            <w:pPr>
              <w:cnfStyle w:val="000000000000" w:firstRow="0" w:lastRow="0" w:firstColumn="0" w:lastColumn="0" w:oddVBand="0" w:evenVBand="0" w:oddHBand="0" w:evenHBand="0" w:firstRowFirstColumn="0" w:firstRowLastColumn="0" w:lastRowFirstColumn="0" w:lastRowLastColumn="0"/>
            </w:pPr>
            <w:r>
              <w:t>$33.7bn</w:t>
            </w:r>
          </w:p>
        </w:tc>
        <w:tc>
          <w:tcPr>
            <w:tcW w:w="2160" w:type="dxa"/>
          </w:tcPr>
          <w:p w14:paraId="2D4BB9DF" w14:textId="77777777" w:rsidR="002F1EFC" w:rsidRDefault="00000000">
            <w:pPr>
              <w:cnfStyle w:val="000000000000" w:firstRow="0" w:lastRow="0" w:firstColumn="0" w:lastColumn="0" w:oddVBand="0" w:evenVBand="0" w:oddHBand="0" w:evenHBand="0" w:firstRowFirstColumn="0" w:firstRowLastColumn="0" w:lastRowFirstColumn="0" w:lastRowLastColumn="0"/>
            </w:pPr>
            <w:r>
              <w:t>12.4%</w:t>
            </w:r>
          </w:p>
        </w:tc>
      </w:tr>
      <w:tr w:rsidR="002F1EFC" w14:paraId="62743BE9" w14:textId="77777777" w:rsidTr="002F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BE9622" w14:textId="77777777" w:rsidR="002F1EFC" w:rsidRDefault="00000000">
            <w:r>
              <w:t>iPad</w:t>
            </w:r>
          </w:p>
        </w:tc>
        <w:tc>
          <w:tcPr>
            <w:tcW w:w="2160" w:type="dxa"/>
          </w:tcPr>
          <w:p w14:paraId="459284A5" w14:textId="77777777" w:rsidR="002F1EFC" w:rsidRDefault="00000000">
            <w:pPr>
              <w:cnfStyle w:val="000000100000" w:firstRow="0" w:lastRow="0" w:firstColumn="0" w:lastColumn="0" w:oddVBand="0" w:evenVBand="0" w:oddHBand="1" w:evenHBand="0" w:firstRowFirstColumn="0" w:firstRowLastColumn="0" w:lastRowFirstColumn="0" w:lastRowLastColumn="0"/>
            </w:pPr>
            <w:r>
              <w:t>$26.7bn</w:t>
            </w:r>
          </w:p>
        </w:tc>
        <w:tc>
          <w:tcPr>
            <w:tcW w:w="2160" w:type="dxa"/>
          </w:tcPr>
          <w:p w14:paraId="20F7962B" w14:textId="77777777" w:rsidR="002F1EFC" w:rsidRDefault="00000000">
            <w:pPr>
              <w:cnfStyle w:val="000000100000" w:firstRow="0" w:lastRow="0" w:firstColumn="0" w:lastColumn="0" w:oddVBand="0" w:evenVBand="0" w:oddHBand="1" w:evenHBand="0" w:firstRowFirstColumn="0" w:firstRowLastColumn="0" w:lastRowFirstColumn="0" w:lastRowLastColumn="0"/>
            </w:pPr>
            <w:r>
              <w:t>$28.0bn</w:t>
            </w:r>
          </w:p>
        </w:tc>
        <w:tc>
          <w:tcPr>
            <w:tcW w:w="2160" w:type="dxa"/>
          </w:tcPr>
          <w:p w14:paraId="5548BC7F" w14:textId="77777777" w:rsidR="002F1EFC" w:rsidRDefault="00000000">
            <w:pPr>
              <w:cnfStyle w:val="000000100000" w:firstRow="0" w:lastRow="0" w:firstColumn="0" w:lastColumn="0" w:oddVBand="0" w:evenVBand="0" w:oddHBand="1" w:evenHBand="0" w:firstRowFirstColumn="0" w:firstRowLastColumn="0" w:lastRowFirstColumn="0" w:lastRowLastColumn="0"/>
            </w:pPr>
            <w:r>
              <w:t>5.0%</w:t>
            </w:r>
          </w:p>
        </w:tc>
      </w:tr>
      <w:tr w:rsidR="002F1EFC" w14:paraId="28E6BA0D" w14:textId="77777777" w:rsidTr="002F1EFC">
        <w:tc>
          <w:tcPr>
            <w:cnfStyle w:val="001000000000" w:firstRow="0" w:lastRow="0" w:firstColumn="1" w:lastColumn="0" w:oddVBand="0" w:evenVBand="0" w:oddHBand="0" w:evenHBand="0" w:firstRowFirstColumn="0" w:firstRowLastColumn="0" w:lastRowFirstColumn="0" w:lastRowLastColumn="0"/>
            <w:tcW w:w="2160" w:type="dxa"/>
          </w:tcPr>
          <w:p w14:paraId="202B4971" w14:textId="77777777" w:rsidR="002F1EFC" w:rsidRDefault="00000000">
            <w:r>
              <w:t>Wearables, Home &amp; Accessories</w:t>
            </w:r>
          </w:p>
        </w:tc>
        <w:tc>
          <w:tcPr>
            <w:tcW w:w="2160" w:type="dxa"/>
          </w:tcPr>
          <w:p w14:paraId="37AD27D4" w14:textId="77777777" w:rsidR="002F1EFC" w:rsidRDefault="00000000">
            <w:pPr>
              <w:cnfStyle w:val="000000000000" w:firstRow="0" w:lastRow="0" w:firstColumn="0" w:lastColumn="0" w:oddVBand="0" w:evenVBand="0" w:oddHBand="0" w:evenHBand="0" w:firstRowFirstColumn="0" w:firstRowLastColumn="0" w:lastRowFirstColumn="0" w:lastRowLastColumn="0"/>
            </w:pPr>
            <w:r>
              <w:t>$37.0bn</w:t>
            </w:r>
          </w:p>
        </w:tc>
        <w:tc>
          <w:tcPr>
            <w:tcW w:w="2160" w:type="dxa"/>
          </w:tcPr>
          <w:p w14:paraId="08DDB734" w14:textId="77777777" w:rsidR="002F1EFC" w:rsidRDefault="00000000">
            <w:pPr>
              <w:cnfStyle w:val="000000000000" w:firstRow="0" w:lastRow="0" w:firstColumn="0" w:lastColumn="0" w:oddVBand="0" w:evenVBand="0" w:oddHBand="0" w:evenHBand="0" w:firstRowFirstColumn="0" w:firstRowLastColumn="0" w:lastRowFirstColumn="0" w:lastRowLastColumn="0"/>
            </w:pPr>
            <w:r>
              <w:t>$35.7bn</w:t>
            </w:r>
          </w:p>
        </w:tc>
        <w:tc>
          <w:tcPr>
            <w:tcW w:w="2160" w:type="dxa"/>
          </w:tcPr>
          <w:p w14:paraId="3CC9E86F" w14:textId="77777777" w:rsidR="002F1EFC" w:rsidRDefault="00000000">
            <w:pPr>
              <w:cnfStyle w:val="000000000000" w:firstRow="0" w:lastRow="0" w:firstColumn="0" w:lastColumn="0" w:oddVBand="0" w:evenVBand="0" w:oddHBand="0" w:evenHBand="0" w:firstRowFirstColumn="0" w:firstRowLastColumn="0" w:lastRowFirstColumn="0" w:lastRowLastColumn="0"/>
            </w:pPr>
            <w:r>
              <w:t>-3.6%</w:t>
            </w:r>
          </w:p>
        </w:tc>
      </w:tr>
      <w:tr w:rsidR="002F1EFC" w14:paraId="03AD1F86" w14:textId="77777777" w:rsidTr="002F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7C4264" w14:textId="77777777" w:rsidR="002F1EFC" w:rsidRDefault="00000000">
            <w:r>
              <w:t>Services Net Sales</w:t>
            </w:r>
          </w:p>
        </w:tc>
        <w:tc>
          <w:tcPr>
            <w:tcW w:w="2160" w:type="dxa"/>
          </w:tcPr>
          <w:p w14:paraId="580BBC9C" w14:textId="77777777" w:rsidR="002F1EFC" w:rsidRDefault="00000000">
            <w:pPr>
              <w:cnfStyle w:val="000000100000" w:firstRow="0" w:lastRow="0" w:firstColumn="0" w:lastColumn="0" w:oddVBand="0" w:evenVBand="0" w:oddHBand="1" w:evenHBand="0" w:firstRowFirstColumn="0" w:firstRowLastColumn="0" w:lastRowFirstColumn="0" w:lastRowLastColumn="0"/>
            </w:pPr>
            <w:r>
              <w:t>$96.2bn</w:t>
            </w:r>
          </w:p>
        </w:tc>
        <w:tc>
          <w:tcPr>
            <w:tcW w:w="2160" w:type="dxa"/>
          </w:tcPr>
          <w:p w14:paraId="554F950C" w14:textId="77777777" w:rsidR="002F1EFC" w:rsidRDefault="00000000">
            <w:pPr>
              <w:cnfStyle w:val="000000100000" w:firstRow="0" w:lastRow="0" w:firstColumn="0" w:lastColumn="0" w:oddVBand="0" w:evenVBand="0" w:oddHBand="1" w:evenHBand="0" w:firstRowFirstColumn="0" w:firstRowLastColumn="0" w:lastRowFirstColumn="0" w:lastRowLastColumn="0"/>
            </w:pPr>
            <w:r>
              <w:t>$109.2bn</w:t>
            </w:r>
          </w:p>
        </w:tc>
        <w:tc>
          <w:tcPr>
            <w:tcW w:w="2160" w:type="dxa"/>
          </w:tcPr>
          <w:p w14:paraId="6915C82C" w14:textId="77777777" w:rsidR="002F1EFC" w:rsidRDefault="00000000">
            <w:pPr>
              <w:cnfStyle w:val="000000100000" w:firstRow="0" w:lastRow="0" w:firstColumn="0" w:lastColumn="0" w:oddVBand="0" w:evenVBand="0" w:oddHBand="1" w:evenHBand="0" w:firstRowFirstColumn="0" w:firstRowLastColumn="0" w:lastRowFirstColumn="0" w:lastRowLastColumn="0"/>
            </w:pPr>
            <w:r>
              <w:t>13.5%</w:t>
            </w:r>
          </w:p>
        </w:tc>
      </w:tr>
    </w:tbl>
    <w:p w14:paraId="239EFB7F" w14:textId="77777777" w:rsidR="009C0B43" w:rsidRDefault="00000000">
      <w:pPr>
        <w:spacing w:before="40" w:after="100"/>
      </w:pPr>
      <w:r>
        <w:rPr>
          <w:i/>
          <w:color w:val="5F5F5F"/>
          <w:sz w:val="15"/>
        </w:rPr>
        <w:t>Source: bApple Fundamentals(5).xlsx, Apple Product Revenue; USD billions.</w:t>
      </w:r>
    </w:p>
    <w:p w14:paraId="25230A3C" w14:textId="77777777" w:rsidR="006A658D" w:rsidRDefault="006A658D"/>
    <w:p w14:paraId="4C4C6422" w14:textId="77777777" w:rsidR="002F1EFC" w:rsidRDefault="00000000">
      <w:r>
        <w:t>Revenue rose from $274.5bn in FY2020 to $416.2bn in FY2025 (8.7% CAGR). In FY2025, iPhone generated $209.6bn (50.4% of sales), while Services contributed $109.2bn (26.2%). Services grew 13.5% year over year versus 4.2% for iPhone, making it an increasingly important growth driver.</w:t>
      </w:r>
    </w:p>
    <w:p w14:paraId="29AA3901" w14:textId="77777777" w:rsidR="009C0B43" w:rsidRDefault="00000000">
      <w:r>
        <w:t>Revenue growth drivers. Based on the supplied product-revenue and third-party shipment series, FY2025 iPhone revenue grew 4.2% while estimated units increased from 232.1m to 247.0m. The differing growth rates suggest price/mix pressure, but the shipment estimates are not Apple-reported unit sales and should not be treated as a precise average-selling-price calculation. Mac revenue increased 12.4%, iPad 5.0%, and Wearables, Home &amp; Accessories declined 3.6%.</w:t>
      </w:r>
    </w:p>
    <w:p w14:paraId="0259AE3D" w14:textId="77777777" w:rsidR="00D40A61" w:rsidRDefault="00000000">
      <w:r>
        <w:rPr>
          <w:b/>
        </w:rPr>
        <w:t>Geographic growth.</w:t>
      </w:r>
      <w:r>
        <w:t xml:space="preserve"> The regional series in the Fundamentals workbook shows FY2025 revenue of approximately $178.3bn in the Americas, $111.0bn in Europe, $64.3bn in Greater China, $28.7bn in Japan and $33.6bn in Rest of Asia Pacific. Europe rose about 9.6% year over year and Rest of Asia Pacific about 9.8%, while Greater China declined about 3.9%. These differences indicate that regional diversification supports growth, but competitive pressure in China remains a material risk. Regional figures are rounded in the workbook and may not sum exactly to reported consolidated revenue.</w:t>
      </w:r>
    </w:p>
    <w:p w14:paraId="457E0997" w14:textId="77777777" w:rsidR="00D40A61" w:rsidRDefault="00000000">
      <w:r>
        <w:rPr>
          <w:b/>
        </w:rPr>
        <w:t>Ecosystem and monetization.</w:t>
      </w:r>
      <w:r>
        <w:t xml:space="preserve"> Apple’s hardware installed base creates opportunities to sell subscriptions, cloud storage, apps and payment services to existing customers. Services revenue rose from $96.2bn in FY2024 to $109.2bn in FY2025. This supports a more recurring revenue mix, but the available figures do not isolate retention rates, revenue per active device or the profitability of individual Services offerings; those effects should not be assumed in the valuation.</w:t>
      </w:r>
    </w:p>
    <w:p w14:paraId="0F42BEE0" w14:textId="77777777" w:rsidR="00D40A61" w:rsidRDefault="00000000">
      <w:r>
        <w:rPr>
          <w:b/>
        </w:rPr>
        <w:t>Investment implication.</w:t>
      </w:r>
      <w:r>
        <w:t xml:space="preserve"> Apple’s ecosystem and Services growth help defend its franchise, while geographic opportunities provide a path to future demand. However, iPhone concentration, uneven regional performance and uncertain monetization of incremental device adoption limit confidence in faster cash-flow growth. These strengths support a conditional HOLD rather than a BUY at the report’s reference valuation.</w:t>
      </w:r>
    </w:p>
    <w:p w14:paraId="0EA159C4" w14:textId="77777777" w:rsidR="00D40A61" w:rsidRDefault="00000000">
      <w:r>
        <w:t>Source: bApple Fundamentals(8).xlsx, Apple Product Revenue, Apple Country Revenue and Apple Unit Volumes; bApple Accessories and Services Industry(8).xlsx. Shipment figures are third-party estimates, not Apple disclosures.</w:t>
      </w:r>
    </w:p>
    <w:p w14:paraId="5EFD6521" w14:textId="77777777" w:rsidR="002F1EFC" w:rsidRDefault="00000000">
      <w:pPr>
        <w:pStyle w:val="Heading1"/>
      </w:pPr>
      <w:r>
        <w:t>2. Financial Performance and Quality</w:t>
      </w:r>
    </w:p>
    <w:p w14:paraId="3A1D9448" w14:textId="77777777" w:rsidR="002F1EFC" w:rsidRDefault="00000000">
      <w:r>
        <w:t>Gross Profit: $180.7bn in FY2024A and $195.2bn in FY2025A, a change of 8.0%.</w:t>
      </w:r>
      <w:r w:rsidR="00141262">
        <w:t xml:space="preserve"> </w:t>
      </w:r>
      <w:r>
        <w:t>Operating Income (EBIT): $123.2bn in FY2024A and $133.1bn in FY2025A, a change of 8.0%.</w:t>
      </w:r>
      <w:r w:rsidR="00141262">
        <w:t xml:space="preserve"> </w:t>
      </w:r>
      <w:r>
        <w:t>Net Income: $93.7bn in FY2024A and $112.0bn in FY2025A, a change of 19.5%.</w:t>
      </w:r>
    </w:p>
    <w:p w14:paraId="1BCE5A36" w14:textId="77777777" w:rsidR="002F1EFC" w:rsidRDefault="00000000">
      <w:pPr>
        <w:spacing w:after="100"/>
      </w:pPr>
      <w:r>
        <w:t>Operating efficiency and balance-sheet measures provide an important counterbalance. The FY2025 current ratio was 0.89x, versus 0.87x in FY2024, while interest-bearing debt-to-equity declined from 1.87x to 1.34x. The cash conversion cycle remained negative at -70.8 days in FY2025 (using a 360-day convention), reflecting favorable working-capital timing. The unusually high FY2025 return on equity of 171.4% should be interpreted cautiously because its book-equity denominator is affected by Apple’s capital structure and shareholder distributions.</w:t>
      </w:r>
    </w:p>
    <w:p w14:paraId="56678B1A" w14:textId="77777777" w:rsidR="002F1EFC" w:rsidRDefault="00000000">
      <w:pPr>
        <w:spacing w:after="100"/>
      </w:pPr>
      <w:r>
        <w:t>Selected ratios reinforce this assessment. Gross margin increased from 46.2% in FY2024 to 46.9% in FY2025, while EBIT margin rose from 31.5% to 32.0% and net margin improved from 24.0% to 26.9%. Return on assets increased from 26.1% to 30.9%, indicating stronger profit generation relative to assets. These improvements support the earnings-quality argument, although they do not by themselves establish an attractive valuation.</w:t>
      </w:r>
    </w:p>
    <w:p w14:paraId="5D505B35" w14:textId="77777777" w:rsidR="009C0B43" w:rsidRDefault="00000000">
      <w:r>
        <w:t>Investment implication: The improvement in operating margin from 31.5% to 32.0%, alongside a 19.5% rise in net income, indicates that earnings growth outpaced revenue growth in FY2025. However, the 0.89x current ratio and high debt-to-equity ratio warrant continued attention to liquidity and capital allocation; the exceptionally high ROE should not be interpreted as a stand-alone measure of economic returns.</w:t>
      </w:r>
    </w:p>
    <w:p w14:paraId="6EC7D645" w14:textId="77777777" w:rsidR="002F1EFC" w:rsidRDefault="00000000">
      <w:pPr>
        <w:pStyle w:val="Heading1"/>
      </w:pPr>
      <w:r>
        <w:lastRenderedPageBreak/>
        <w:t>3. Industry and Competitive Position</w:t>
      </w:r>
    </w:p>
    <w:p w14:paraId="037402FE" w14:textId="77777777" w:rsidR="002F1EFC" w:rsidRDefault="00000000">
      <w:pPr>
        <w:pStyle w:val="Heading2"/>
      </w:pPr>
      <w:r>
        <w:t>Smartphones and premium pricing</w:t>
      </w:r>
    </w:p>
    <w:p w14:paraId="14A3695F" w14:textId="77777777" w:rsidR="00B80426" w:rsidRPr="00B80426" w:rsidRDefault="00B80426" w:rsidP="00B80426">
      <w:r w:rsidRPr="00B80426">
        <w:t>Global smartphone industry revenue is forecast to grow by 5.7%, from $602.8 billion in 2025 to $637.1 billion in 2026. Apple's iPhone revenue grew by 4.2% in FY2025, below the projected industry growth rate. While industry expansion provides a favorable outlook, Apple's ability to sustain premium pricing, encourage device upgrades, and maintain its competitive position remains critical to future growth.</w:t>
      </w:r>
    </w:p>
    <w:p w14:paraId="5C0E2399" w14:textId="77777777" w:rsidR="00B80426" w:rsidRDefault="00B80426"/>
    <w:p w14:paraId="2578865E" w14:textId="77777777" w:rsidR="00B80426" w:rsidRDefault="00B80426">
      <w:r>
        <w:rPr>
          <w:noProof/>
        </w:rPr>
        <w:drawing>
          <wp:inline distT="0" distB="0" distL="0" distR="0" wp14:anchorId="05FF2FF6" wp14:editId="45E0AEE5">
            <wp:extent cx="5486400" cy="2929255"/>
            <wp:effectExtent l="0" t="0" r="0" b="4445"/>
            <wp:docPr id="1955196036" name="Chart 1">
              <a:extLst xmlns:a="http://schemas.openxmlformats.org/drawingml/2006/main">
                <a:ext uri="{FF2B5EF4-FFF2-40B4-BE49-F238E27FC236}">
                  <a16:creationId xmlns:a16="http://schemas.microsoft.com/office/drawing/2014/main" id="{36315776-3AC5-C7C9-0E74-64E47B0C18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BC77933" w14:textId="77777777" w:rsidR="00B80426" w:rsidRDefault="00B80426"/>
    <w:p w14:paraId="4E816415" w14:textId="57F20047" w:rsidR="00F751A7" w:rsidRDefault="00F751A7">
      <w:r w:rsidRPr="00F751A7">
        <w:t>Smartphone penetration remains relatively low in developing markets, including India (approximately 25%) and Nigeria (approximately 27%), compared with the U.S. (approximately 77%). This suggests continued long-term industry growth potential. Apple is expanding in emerging markets, particularly India, where iPhone shipments exceeded 15 million units in 2025</w:t>
      </w:r>
      <w:r w:rsidR="00A91F64">
        <w:t xml:space="preserve"> [S5]</w:t>
      </w:r>
      <w:r w:rsidRPr="00F751A7">
        <w:t>. However, premium pricing and affordability constraints may limit Apple's ability to capture broader smartphone adoption. These opportunities support Apple's long-term growth outlook, although uncertainty surrounding market-share gains and revenue conversion reinforces our HOLD recommendation.</w:t>
      </w:r>
    </w:p>
    <w:p w14:paraId="54E94934" w14:textId="77777777" w:rsidR="00F751A7" w:rsidRDefault="00F751A7"/>
    <w:p w14:paraId="14AA25FC" w14:textId="77777777" w:rsidR="002F1EFC" w:rsidRDefault="00000000">
      <w:pPr>
        <w:pStyle w:val="Heading2"/>
      </w:pPr>
      <w:r>
        <w:t>Mac and the computer market</w:t>
      </w:r>
    </w:p>
    <w:p w14:paraId="5E800312" w14:textId="77777777" w:rsidR="002F1EFC" w:rsidRDefault="00000000">
      <w:r>
        <w:t>Computer vendor shipments and industry revenue forecasts offer two perspectives on market growth. For Apple, unit share and price/mix should be assessed separately. A market can show moderate shipment growth but faster revenue growth if average selling prices or product mix rise. The data do not, by themselves, prove which factor explains the difference.</w:t>
      </w:r>
    </w:p>
    <w:p w14:paraId="7002B12A" w14:textId="77777777" w:rsidR="002F1EFC" w:rsidRDefault="00000000">
      <w:pPr>
        <w:pStyle w:val="Heading2"/>
      </w:pPr>
      <w:r>
        <w:t>iPad and tablets</w:t>
      </w:r>
    </w:p>
    <w:p w14:paraId="32537A1E" w14:textId="77777777" w:rsidR="002F1EFC" w:rsidRDefault="00000000">
      <w:r>
        <w:t>Tablet vendor shipments and industry revenue forecasts help distinguish unit demand from changes in market value per device. Apple’s FY2025 iPad revenue was $28.0bn. Market forecasts should not be treated as certain future demand.</w:t>
      </w:r>
    </w:p>
    <w:p w14:paraId="47808D11" w14:textId="77777777" w:rsidR="002F1EFC" w:rsidRDefault="00000000">
      <w:pPr>
        <w:spacing w:after="100"/>
      </w:pPr>
      <w:r>
        <w:t>The tablet industry revenue forecast increases from $114.66bn in 2025 to $121.61bn in 2026, an increase of approximately 6.1%. The figures suggest expected market expansion, but they do not establish Apple’s future tablet market share.</w:t>
      </w:r>
    </w:p>
    <w:p w14:paraId="29B0998C" w14:textId="77777777" w:rsidR="002F1EFC" w:rsidRDefault="00000000">
      <w:pPr>
        <w:pStyle w:val="Heading2"/>
      </w:pPr>
      <w:r>
        <w:t>Wearables and services</w:t>
      </w:r>
    </w:p>
    <w:p w14:paraId="76FF5790" w14:textId="77777777" w:rsidR="002F1EFC" w:rsidRDefault="00000000">
      <w:r>
        <w:t xml:space="preserve">Wearable shipments, market size, streaming, cloud storage, app distribution and digital wallets are relevant to Apple’s competitive position. The range of services is strategically important because Apple is not </w:t>
      </w:r>
      <w:r>
        <w:lastRenderedPageBreak/>
        <w:t>dependent on only one subscription or payment product. However, app counts, registered users, active users, subscribers, transaction value and revenue are different measures and should not be combined into a single market-share figure.</w:t>
      </w:r>
    </w:p>
    <w:p w14:paraId="3CCF28FF" w14:textId="77777777" w:rsidR="002F1EFC" w:rsidRDefault="00000000">
      <w:pPr>
        <w:spacing w:after="100"/>
      </w:pPr>
      <w:r>
        <w:t>The wearable-device market-size forecast rises from $203.38bn in 2025 to $231.45bn in 2026, implying approximately 13.8% growth. This is a broad industry forecast rather than a projection of Apple’s Wearables, Home &amp; Accessories revenue; Apple’s own FY2025 category revenue declined 3.6%. The contrast highlights why industry growth should not automatically be translated into company growth.</w:t>
      </w:r>
    </w:p>
    <w:p w14:paraId="726497E0" w14:textId="77777777" w:rsidR="009C0B43" w:rsidRDefault="00000000">
      <w:r>
        <w:t>Investment implication: The divergence between projected wearable-market growth of 13.8% and Apple’s 3.6% decline in Wearables, Home &amp; Accessories revenue during FY2025 is a useful warning against assuming that a growing addressable market automatically produces growth for Apple. Product mix, replacement cycles and competitive execution matter.</w:t>
      </w:r>
    </w:p>
    <w:p w14:paraId="18235308" w14:textId="77777777" w:rsidR="002F1EFC" w:rsidRDefault="00000000">
      <w:pPr>
        <w:pStyle w:val="Heading1"/>
      </w:pPr>
      <w:r>
        <w:t>4. Semiconductor Industry: Apple Silicon and the Investment Case</w:t>
      </w:r>
    </w:p>
    <w:p w14:paraId="1E3507B1" w14:textId="77777777" w:rsidR="002F1EFC" w:rsidRDefault="00000000">
      <w:r>
        <w:t>Apple designs its own chips for several devices. Apple began moving Macs from Intel processors to Apple silicon in 2020. In March 2026, Apple announced M5 Pro and M5 Max processors, including a design that connects two dies in one system-on-chip package. Apple later announced its M6 chip, built on a 2-nanometer process, in August 2026. [S1–S3]</w:t>
      </w:r>
    </w:p>
    <w:p w14:paraId="7374C419" w14:textId="77777777" w:rsidR="002F1EFC" w:rsidRDefault="00000000">
      <w:r>
        <w:t>Why this matters: Apple-designed processors can help the company control device performance, energy efficiency and the timing of hardware features. On-device AI is another possible reason customers may upgrade. These are strategic opportunities, not proof of higher future iPhone or Mac sales. The DCF should only reflect higher demand or margins when those assumptions are supported by financial evidence.</w:t>
      </w:r>
    </w:p>
    <w:p w14:paraId="6193F921" w14:textId="77777777" w:rsidR="002F1EFC" w:rsidRDefault="00000000">
      <w:r>
        <w:t>Manufacturing is a separate source of risk. TSMC’s 2025 annual report describes investment in leading-edge manufacturing and advanced packaging, as well as expansion in Arizona. Its disclosures show why advanced chip production requires large investment and specialized capacity. Supply constraints, manufacturing concentration, yields and the cost of leading-edge processes are therefore relevant risks to monitor. [S4]</w:t>
      </w:r>
    </w:p>
    <w:p w14:paraId="04C93F2F" w14:textId="77777777" w:rsidR="002F1EFC" w:rsidRDefault="00000000">
      <w:r>
        <w:t>Useful research indicators include Apple silicon performance per watt, device upgrade rates, gross margin by product versus services, chip-node transition costs, foundry capacity, and whether AI features increase customer spending. The earnings impact of Apple silicon has not been quantified; our valuation therefore assumes no incremental chip-related revenue uplift.</w:t>
      </w:r>
    </w:p>
    <w:p w14:paraId="37899989" w14:textId="77777777" w:rsidR="002F1EFC" w:rsidRDefault="00000000">
      <w:pPr>
        <w:pStyle w:val="Heading1"/>
      </w:pPr>
      <w:r>
        <w:t>5. Discounted Cash Flow Valuation</w:t>
      </w:r>
    </w:p>
    <w:p w14:paraId="34D3DDBC" w14:textId="77777777" w:rsidR="002F1EFC" w:rsidRDefault="00000000">
      <w:r>
        <w:t>Our DCF forecasts unlevered free cash flow for FY2026E–FY2030E and discounts it at a 10.08% WACC. It uses an end-of-year convention and calculates terminal value in two ways: an EBITDA exit multiple of 29.38x and a 3.0% perpetual growth rate. The valuation then rolls the September 27, 2025 valuation forward to its October 8, 2026 pricing date and subtracts interim dividends. The share values below are the rolled-forward outputs, not the earlier valuation-date outputs.</w:t>
      </w:r>
    </w:p>
    <w:p w14:paraId="3EEE3B48" w14:textId="77777777" w:rsidR="006A658D" w:rsidRDefault="006A658D"/>
    <w:p w14:paraId="166E0177" w14:textId="77777777" w:rsidR="00DC332F" w:rsidRDefault="00DC332F"/>
    <w:p w14:paraId="0E6BAF5D" w14:textId="77777777" w:rsidR="00DC332F" w:rsidRDefault="00DC332F"/>
    <w:p w14:paraId="4A28CBDC" w14:textId="77777777" w:rsidR="00DC332F" w:rsidRDefault="00DC332F"/>
    <w:p w14:paraId="13A766EE" w14:textId="77777777" w:rsidR="00DC332F" w:rsidRDefault="00DC332F"/>
    <w:p w14:paraId="4A0853F1" w14:textId="77777777" w:rsidR="00DC332F" w:rsidRDefault="00DC332F"/>
    <w:p w14:paraId="75EF1683" w14:textId="77777777" w:rsidR="00DC332F" w:rsidRDefault="00DC332F"/>
    <w:p w14:paraId="50FC61DC" w14:textId="77777777" w:rsidR="00DC332F" w:rsidRDefault="00DC332F"/>
    <w:p w14:paraId="0FF36804" w14:textId="77777777" w:rsidR="00DC332F" w:rsidRDefault="00DC332F"/>
    <w:p w14:paraId="546505A8" w14:textId="77777777" w:rsidR="006A658D" w:rsidRDefault="006A658D"/>
    <w:tbl>
      <w:tblPr>
        <w:tblpPr w:leftFromText="180" w:rightFromText="180" w:vertAnchor="text" w:horzAnchor="margin" w:tblpXSpec="center" w:tblpY="1"/>
        <w:tblW w:w="11194" w:type="dxa"/>
        <w:tblLook w:val="04A0" w:firstRow="1" w:lastRow="0" w:firstColumn="1" w:lastColumn="0" w:noHBand="0" w:noVBand="1"/>
      </w:tblPr>
      <w:tblGrid>
        <w:gridCol w:w="3456"/>
        <w:gridCol w:w="1616"/>
        <w:gridCol w:w="1876"/>
        <w:gridCol w:w="1050"/>
        <w:gridCol w:w="1096"/>
        <w:gridCol w:w="1050"/>
        <w:gridCol w:w="1050"/>
      </w:tblGrid>
      <w:tr w:rsidR="00A70B77" w:rsidRPr="001B33B0" w14:paraId="54B216C8" w14:textId="77777777" w:rsidTr="00A70B77">
        <w:trPr>
          <w:trHeight w:val="288"/>
        </w:trPr>
        <w:tc>
          <w:tcPr>
            <w:tcW w:w="3456" w:type="dxa"/>
            <w:tcBorders>
              <w:top w:val="nil"/>
              <w:left w:val="nil"/>
              <w:bottom w:val="nil"/>
              <w:right w:val="nil"/>
            </w:tcBorders>
            <w:shd w:val="clear" w:color="333333" w:fill="8064A2"/>
            <w:noWrap/>
            <w:vAlign w:val="bottom"/>
            <w:hideMark/>
          </w:tcPr>
          <w:p w14:paraId="4296E954" w14:textId="77777777" w:rsidR="00A70B77" w:rsidRPr="001B33B0" w:rsidRDefault="00A70B77" w:rsidP="00A70B77">
            <w:pPr>
              <w:spacing w:after="0" w:line="240" w:lineRule="auto"/>
              <w:rPr>
                <w:rFonts w:eastAsia="Times New Roman" w:cs="Arial"/>
                <w:b/>
                <w:bCs/>
                <w:color w:val="FFFFFF"/>
                <w:sz w:val="20"/>
                <w:szCs w:val="20"/>
              </w:rPr>
            </w:pPr>
            <w:r w:rsidRPr="001B33B0">
              <w:rPr>
                <w:rFonts w:eastAsia="Times New Roman" w:cs="Arial"/>
                <w:b/>
                <w:bCs/>
                <w:color w:val="FFFFFF"/>
                <w:sz w:val="20"/>
                <w:szCs w:val="20"/>
              </w:rPr>
              <w:lastRenderedPageBreak/>
              <w:t>($ in millions, except per share)</w:t>
            </w:r>
          </w:p>
        </w:tc>
        <w:tc>
          <w:tcPr>
            <w:tcW w:w="1616" w:type="dxa"/>
            <w:tcBorders>
              <w:top w:val="nil"/>
              <w:left w:val="nil"/>
              <w:bottom w:val="nil"/>
              <w:right w:val="nil"/>
            </w:tcBorders>
            <w:shd w:val="clear" w:color="333333" w:fill="8064A2"/>
            <w:noWrap/>
            <w:vAlign w:val="bottom"/>
            <w:hideMark/>
          </w:tcPr>
          <w:p w14:paraId="3282198D" w14:textId="77777777" w:rsidR="00A70B77" w:rsidRPr="001B33B0" w:rsidRDefault="00A70B77" w:rsidP="00A70B77">
            <w:pPr>
              <w:spacing w:after="0" w:line="240" w:lineRule="auto"/>
              <w:jc w:val="right"/>
              <w:rPr>
                <w:rFonts w:eastAsia="Times New Roman" w:cs="Arial"/>
                <w:b/>
                <w:bCs/>
                <w:color w:val="FFFFFF"/>
                <w:sz w:val="20"/>
                <w:szCs w:val="20"/>
              </w:rPr>
            </w:pPr>
            <w:r w:rsidRPr="001B33B0">
              <w:rPr>
                <w:rFonts w:eastAsia="Times New Roman" w:cs="Arial"/>
                <w:b/>
                <w:bCs/>
                <w:color w:val="FFFFFF"/>
                <w:sz w:val="20"/>
                <w:szCs w:val="20"/>
              </w:rPr>
              <w:t>FY2025A</w:t>
            </w:r>
          </w:p>
        </w:tc>
        <w:tc>
          <w:tcPr>
            <w:tcW w:w="1876" w:type="dxa"/>
            <w:tcBorders>
              <w:top w:val="nil"/>
              <w:left w:val="nil"/>
              <w:bottom w:val="nil"/>
              <w:right w:val="nil"/>
            </w:tcBorders>
            <w:shd w:val="clear" w:color="333333" w:fill="8064A2"/>
            <w:noWrap/>
            <w:vAlign w:val="bottom"/>
            <w:hideMark/>
          </w:tcPr>
          <w:p w14:paraId="441B0E7D" w14:textId="77777777" w:rsidR="00A70B77" w:rsidRPr="001B33B0" w:rsidRDefault="00A70B77" w:rsidP="00A70B77">
            <w:pPr>
              <w:spacing w:after="0" w:line="240" w:lineRule="auto"/>
              <w:jc w:val="right"/>
              <w:rPr>
                <w:rFonts w:eastAsia="Times New Roman" w:cs="Arial"/>
                <w:b/>
                <w:bCs/>
                <w:color w:val="FFFFFF"/>
                <w:sz w:val="20"/>
                <w:szCs w:val="20"/>
              </w:rPr>
            </w:pPr>
            <w:r w:rsidRPr="001B33B0">
              <w:rPr>
                <w:rFonts w:eastAsia="Times New Roman" w:cs="Arial"/>
                <w:b/>
                <w:bCs/>
                <w:color w:val="FFFFFF"/>
                <w:sz w:val="20"/>
                <w:szCs w:val="20"/>
              </w:rPr>
              <w:t>FY2026E</w:t>
            </w:r>
          </w:p>
        </w:tc>
        <w:tc>
          <w:tcPr>
            <w:tcW w:w="1050" w:type="dxa"/>
            <w:tcBorders>
              <w:top w:val="nil"/>
              <w:left w:val="nil"/>
              <w:bottom w:val="nil"/>
              <w:right w:val="nil"/>
            </w:tcBorders>
            <w:shd w:val="clear" w:color="333333" w:fill="8064A2"/>
            <w:noWrap/>
            <w:vAlign w:val="bottom"/>
            <w:hideMark/>
          </w:tcPr>
          <w:p w14:paraId="5D07AA33" w14:textId="77777777" w:rsidR="00A70B77" w:rsidRPr="001B33B0" w:rsidRDefault="00A70B77" w:rsidP="00A70B77">
            <w:pPr>
              <w:spacing w:after="0" w:line="240" w:lineRule="auto"/>
              <w:jc w:val="right"/>
              <w:rPr>
                <w:rFonts w:eastAsia="Times New Roman" w:cs="Arial"/>
                <w:b/>
                <w:bCs/>
                <w:color w:val="FFFFFF"/>
                <w:sz w:val="20"/>
                <w:szCs w:val="20"/>
              </w:rPr>
            </w:pPr>
            <w:r w:rsidRPr="001B33B0">
              <w:rPr>
                <w:rFonts w:eastAsia="Times New Roman" w:cs="Arial"/>
                <w:b/>
                <w:bCs/>
                <w:color w:val="FFFFFF"/>
                <w:sz w:val="20"/>
                <w:szCs w:val="20"/>
              </w:rPr>
              <w:t>FY2027E</w:t>
            </w:r>
          </w:p>
        </w:tc>
        <w:tc>
          <w:tcPr>
            <w:tcW w:w="1096" w:type="dxa"/>
            <w:tcBorders>
              <w:top w:val="nil"/>
              <w:left w:val="nil"/>
              <w:bottom w:val="nil"/>
              <w:right w:val="nil"/>
            </w:tcBorders>
            <w:shd w:val="clear" w:color="333333" w:fill="8064A2"/>
            <w:noWrap/>
            <w:vAlign w:val="bottom"/>
            <w:hideMark/>
          </w:tcPr>
          <w:p w14:paraId="0A1949BC" w14:textId="77777777" w:rsidR="00A70B77" w:rsidRPr="001B33B0" w:rsidRDefault="00A70B77" w:rsidP="00A70B77">
            <w:pPr>
              <w:spacing w:after="0" w:line="240" w:lineRule="auto"/>
              <w:jc w:val="right"/>
              <w:rPr>
                <w:rFonts w:eastAsia="Times New Roman" w:cs="Arial"/>
                <w:b/>
                <w:bCs/>
                <w:color w:val="FFFFFF"/>
                <w:sz w:val="20"/>
                <w:szCs w:val="20"/>
              </w:rPr>
            </w:pPr>
            <w:r w:rsidRPr="001B33B0">
              <w:rPr>
                <w:rFonts w:eastAsia="Times New Roman" w:cs="Arial"/>
                <w:b/>
                <w:bCs/>
                <w:color w:val="FFFFFF"/>
                <w:sz w:val="20"/>
                <w:szCs w:val="20"/>
              </w:rPr>
              <w:t>FY2028E</w:t>
            </w:r>
          </w:p>
        </w:tc>
        <w:tc>
          <w:tcPr>
            <w:tcW w:w="1050" w:type="dxa"/>
            <w:tcBorders>
              <w:top w:val="nil"/>
              <w:left w:val="nil"/>
              <w:bottom w:val="nil"/>
              <w:right w:val="nil"/>
            </w:tcBorders>
            <w:shd w:val="clear" w:color="333333" w:fill="8064A2"/>
            <w:noWrap/>
            <w:vAlign w:val="bottom"/>
            <w:hideMark/>
          </w:tcPr>
          <w:p w14:paraId="072E77A9" w14:textId="77777777" w:rsidR="00A70B77" w:rsidRPr="001B33B0" w:rsidRDefault="00A70B77" w:rsidP="00A70B77">
            <w:pPr>
              <w:spacing w:after="0" w:line="240" w:lineRule="auto"/>
              <w:jc w:val="right"/>
              <w:rPr>
                <w:rFonts w:eastAsia="Times New Roman" w:cs="Arial"/>
                <w:b/>
                <w:bCs/>
                <w:color w:val="FFFFFF"/>
                <w:sz w:val="20"/>
                <w:szCs w:val="20"/>
              </w:rPr>
            </w:pPr>
            <w:r w:rsidRPr="001B33B0">
              <w:rPr>
                <w:rFonts w:eastAsia="Times New Roman" w:cs="Arial"/>
                <w:b/>
                <w:bCs/>
                <w:color w:val="FFFFFF"/>
                <w:sz w:val="20"/>
                <w:szCs w:val="20"/>
              </w:rPr>
              <w:t>FY2029E</w:t>
            </w:r>
          </w:p>
        </w:tc>
        <w:tc>
          <w:tcPr>
            <w:tcW w:w="1050" w:type="dxa"/>
            <w:tcBorders>
              <w:top w:val="nil"/>
              <w:left w:val="nil"/>
              <w:bottom w:val="nil"/>
              <w:right w:val="nil"/>
            </w:tcBorders>
            <w:shd w:val="clear" w:color="333333" w:fill="8064A2"/>
            <w:noWrap/>
            <w:vAlign w:val="bottom"/>
            <w:hideMark/>
          </w:tcPr>
          <w:p w14:paraId="1CB13104" w14:textId="77777777" w:rsidR="00A70B77" w:rsidRPr="001B33B0" w:rsidRDefault="00A70B77" w:rsidP="00A70B77">
            <w:pPr>
              <w:spacing w:after="0" w:line="240" w:lineRule="auto"/>
              <w:jc w:val="right"/>
              <w:rPr>
                <w:rFonts w:eastAsia="Times New Roman" w:cs="Arial"/>
                <w:b/>
                <w:bCs/>
                <w:color w:val="FFFFFF"/>
                <w:sz w:val="20"/>
                <w:szCs w:val="20"/>
              </w:rPr>
            </w:pPr>
            <w:r w:rsidRPr="001B33B0">
              <w:rPr>
                <w:rFonts w:eastAsia="Times New Roman" w:cs="Arial"/>
                <w:b/>
                <w:bCs/>
                <w:color w:val="FFFFFF"/>
                <w:sz w:val="20"/>
                <w:szCs w:val="20"/>
              </w:rPr>
              <w:t>FY2030E</w:t>
            </w:r>
          </w:p>
        </w:tc>
      </w:tr>
      <w:tr w:rsidR="00A70B77" w:rsidRPr="001B33B0" w14:paraId="4E6E2F98" w14:textId="77777777" w:rsidTr="00A70B77">
        <w:trPr>
          <w:trHeight w:val="288"/>
        </w:trPr>
        <w:tc>
          <w:tcPr>
            <w:tcW w:w="3456" w:type="dxa"/>
            <w:tcBorders>
              <w:top w:val="nil"/>
              <w:left w:val="nil"/>
              <w:bottom w:val="nil"/>
              <w:right w:val="nil"/>
            </w:tcBorders>
            <w:noWrap/>
            <w:vAlign w:val="bottom"/>
            <w:hideMark/>
          </w:tcPr>
          <w:p w14:paraId="4F20D690" w14:textId="77777777" w:rsidR="00A70B77" w:rsidRPr="001B33B0" w:rsidRDefault="00A70B77" w:rsidP="00A70B77">
            <w:pPr>
              <w:spacing w:after="0" w:line="240" w:lineRule="auto"/>
              <w:rPr>
                <w:rFonts w:eastAsia="Times New Roman" w:cs="Arial"/>
                <w:b/>
                <w:bCs/>
                <w:color w:val="8064A2"/>
                <w:sz w:val="20"/>
                <w:szCs w:val="20"/>
              </w:rPr>
            </w:pPr>
            <w:r w:rsidRPr="001B33B0">
              <w:rPr>
                <w:rFonts w:eastAsia="Times New Roman" w:cs="Arial"/>
                <w:b/>
                <w:bCs/>
                <w:color w:val="8064A2"/>
                <w:sz w:val="20"/>
                <w:szCs w:val="20"/>
              </w:rPr>
              <w:t>Unlevered Free Cash Flow</w:t>
            </w:r>
          </w:p>
        </w:tc>
        <w:tc>
          <w:tcPr>
            <w:tcW w:w="1616" w:type="dxa"/>
            <w:tcBorders>
              <w:top w:val="nil"/>
              <w:left w:val="nil"/>
              <w:bottom w:val="nil"/>
              <w:right w:val="nil"/>
            </w:tcBorders>
            <w:noWrap/>
            <w:vAlign w:val="bottom"/>
            <w:hideMark/>
          </w:tcPr>
          <w:p w14:paraId="39D43F55" w14:textId="77777777" w:rsidR="00A70B77" w:rsidRPr="001B33B0" w:rsidRDefault="00A70B77" w:rsidP="00A70B77">
            <w:pPr>
              <w:spacing w:after="0" w:line="240" w:lineRule="auto"/>
              <w:rPr>
                <w:rFonts w:eastAsia="Times New Roman" w:cs="Arial"/>
                <w:b/>
                <w:bCs/>
                <w:color w:val="8064A2"/>
                <w:sz w:val="20"/>
                <w:szCs w:val="20"/>
              </w:rPr>
            </w:pPr>
          </w:p>
        </w:tc>
        <w:tc>
          <w:tcPr>
            <w:tcW w:w="1876" w:type="dxa"/>
            <w:tcBorders>
              <w:top w:val="nil"/>
              <w:left w:val="nil"/>
              <w:bottom w:val="nil"/>
              <w:right w:val="nil"/>
            </w:tcBorders>
            <w:noWrap/>
            <w:vAlign w:val="bottom"/>
            <w:hideMark/>
          </w:tcPr>
          <w:p w14:paraId="1E8E84BC"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5C86E681"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96" w:type="dxa"/>
            <w:tcBorders>
              <w:top w:val="nil"/>
              <w:left w:val="nil"/>
              <w:bottom w:val="nil"/>
              <w:right w:val="nil"/>
            </w:tcBorders>
            <w:noWrap/>
            <w:vAlign w:val="bottom"/>
            <w:hideMark/>
          </w:tcPr>
          <w:p w14:paraId="3E45C445"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15876A01"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06FA612A"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30566DB9" w14:textId="77777777" w:rsidTr="00A70B77">
        <w:trPr>
          <w:trHeight w:val="288"/>
        </w:trPr>
        <w:tc>
          <w:tcPr>
            <w:tcW w:w="3456" w:type="dxa"/>
            <w:tcBorders>
              <w:top w:val="nil"/>
              <w:left w:val="nil"/>
              <w:bottom w:val="nil"/>
              <w:right w:val="nil"/>
            </w:tcBorders>
            <w:noWrap/>
            <w:vAlign w:val="bottom"/>
            <w:hideMark/>
          </w:tcPr>
          <w:p w14:paraId="7424C1EB"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EBIT</w:t>
            </w:r>
          </w:p>
        </w:tc>
        <w:tc>
          <w:tcPr>
            <w:tcW w:w="1616" w:type="dxa"/>
            <w:tcBorders>
              <w:top w:val="nil"/>
              <w:left w:val="nil"/>
              <w:bottom w:val="nil"/>
              <w:right w:val="nil"/>
            </w:tcBorders>
            <w:noWrap/>
            <w:vAlign w:val="bottom"/>
            <w:hideMark/>
          </w:tcPr>
          <w:p w14:paraId="41303D32"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nil"/>
              <w:right w:val="nil"/>
            </w:tcBorders>
            <w:noWrap/>
            <w:vAlign w:val="bottom"/>
            <w:hideMark/>
          </w:tcPr>
          <w:p w14:paraId="72A8857F"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156,430</w:t>
            </w:r>
          </w:p>
        </w:tc>
        <w:tc>
          <w:tcPr>
            <w:tcW w:w="1050" w:type="dxa"/>
            <w:tcBorders>
              <w:top w:val="nil"/>
              <w:left w:val="nil"/>
              <w:bottom w:val="nil"/>
              <w:right w:val="nil"/>
            </w:tcBorders>
            <w:noWrap/>
            <w:vAlign w:val="bottom"/>
            <w:hideMark/>
          </w:tcPr>
          <w:p w14:paraId="46164D47"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160,255</w:t>
            </w:r>
          </w:p>
        </w:tc>
        <w:tc>
          <w:tcPr>
            <w:tcW w:w="1096" w:type="dxa"/>
            <w:tcBorders>
              <w:top w:val="nil"/>
              <w:left w:val="nil"/>
              <w:bottom w:val="nil"/>
              <w:right w:val="nil"/>
            </w:tcBorders>
            <w:noWrap/>
            <w:vAlign w:val="bottom"/>
            <w:hideMark/>
          </w:tcPr>
          <w:p w14:paraId="609F653F"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169,069</w:t>
            </w:r>
          </w:p>
        </w:tc>
        <w:tc>
          <w:tcPr>
            <w:tcW w:w="1050" w:type="dxa"/>
            <w:tcBorders>
              <w:top w:val="nil"/>
              <w:left w:val="nil"/>
              <w:bottom w:val="nil"/>
              <w:right w:val="nil"/>
            </w:tcBorders>
            <w:noWrap/>
            <w:vAlign w:val="bottom"/>
            <w:hideMark/>
          </w:tcPr>
          <w:p w14:paraId="5DFC1487"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177,522</w:t>
            </w:r>
          </w:p>
        </w:tc>
        <w:tc>
          <w:tcPr>
            <w:tcW w:w="1050" w:type="dxa"/>
            <w:tcBorders>
              <w:top w:val="nil"/>
              <w:left w:val="nil"/>
              <w:bottom w:val="nil"/>
              <w:right w:val="nil"/>
            </w:tcBorders>
            <w:noWrap/>
            <w:vAlign w:val="bottom"/>
            <w:hideMark/>
          </w:tcPr>
          <w:p w14:paraId="2AAC5570"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185,511</w:t>
            </w:r>
          </w:p>
        </w:tc>
      </w:tr>
      <w:tr w:rsidR="00A70B77" w:rsidRPr="001B33B0" w14:paraId="458FB2F9" w14:textId="77777777" w:rsidTr="00A70B77">
        <w:trPr>
          <w:trHeight w:val="288"/>
        </w:trPr>
        <w:tc>
          <w:tcPr>
            <w:tcW w:w="3456" w:type="dxa"/>
            <w:tcBorders>
              <w:top w:val="nil"/>
              <w:left w:val="nil"/>
              <w:bottom w:val="nil"/>
              <w:right w:val="nil"/>
            </w:tcBorders>
            <w:noWrap/>
            <w:vAlign w:val="bottom"/>
            <w:hideMark/>
          </w:tcPr>
          <w:p w14:paraId="7EBC2958"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Depreciation &amp; Amortization</w:t>
            </w:r>
          </w:p>
        </w:tc>
        <w:tc>
          <w:tcPr>
            <w:tcW w:w="1616" w:type="dxa"/>
            <w:tcBorders>
              <w:top w:val="nil"/>
              <w:left w:val="nil"/>
              <w:bottom w:val="nil"/>
              <w:right w:val="nil"/>
            </w:tcBorders>
            <w:noWrap/>
            <w:vAlign w:val="bottom"/>
            <w:hideMark/>
          </w:tcPr>
          <w:p w14:paraId="138B1EB1"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nil"/>
              <w:right w:val="nil"/>
            </w:tcBorders>
            <w:noWrap/>
            <w:vAlign w:val="bottom"/>
            <w:hideMark/>
          </w:tcPr>
          <w:p w14:paraId="5B251A61"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11,451</w:t>
            </w:r>
          </w:p>
        </w:tc>
        <w:tc>
          <w:tcPr>
            <w:tcW w:w="1050" w:type="dxa"/>
            <w:tcBorders>
              <w:top w:val="nil"/>
              <w:left w:val="nil"/>
              <w:bottom w:val="nil"/>
              <w:right w:val="nil"/>
            </w:tcBorders>
            <w:noWrap/>
            <w:vAlign w:val="bottom"/>
            <w:hideMark/>
          </w:tcPr>
          <w:p w14:paraId="3971F047"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13,136</w:t>
            </w:r>
          </w:p>
        </w:tc>
        <w:tc>
          <w:tcPr>
            <w:tcW w:w="1096" w:type="dxa"/>
            <w:tcBorders>
              <w:top w:val="nil"/>
              <w:left w:val="nil"/>
              <w:bottom w:val="nil"/>
              <w:right w:val="nil"/>
            </w:tcBorders>
            <w:noWrap/>
            <w:vAlign w:val="bottom"/>
            <w:hideMark/>
          </w:tcPr>
          <w:p w14:paraId="631BA2FE"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14,913</w:t>
            </w:r>
          </w:p>
        </w:tc>
        <w:tc>
          <w:tcPr>
            <w:tcW w:w="1050" w:type="dxa"/>
            <w:tcBorders>
              <w:top w:val="nil"/>
              <w:left w:val="nil"/>
              <w:bottom w:val="nil"/>
              <w:right w:val="nil"/>
            </w:tcBorders>
            <w:noWrap/>
            <w:vAlign w:val="bottom"/>
            <w:hideMark/>
          </w:tcPr>
          <w:p w14:paraId="3648C3E3"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16,780</w:t>
            </w:r>
          </w:p>
        </w:tc>
        <w:tc>
          <w:tcPr>
            <w:tcW w:w="1050" w:type="dxa"/>
            <w:tcBorders>
              <w:top w:val="nil"/>
              <w:left w:val="nil"/>
              <w:bottom w:val="nil"/>
              <w:right w:val="nil"/>
            </w:tcBorders>
            <w:noWrap/>
            <w:vAlign w:val="bottom"/>
            <w:hideMark/>
          </w:tcPr>
          <w:p w14:paraId="208FBE99"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18,731</w:t>
            </w:r>
          </w:p>
        </w:tc>
      </w:tr>
      <w:tr w:rsidR="00A70B77" w:rsidRPr="001B33B0" w14:paraId="6FE20E14" w14:textId="77777777" w:rsidTr="00A70B77">
        <w:trPr>
          <w:trHeight w:val="288"/>
        </w:trPr>
        <w:tc>
          <w:tcPr>
            <w:tcW w:w="3456" w:type="dxa"/>
            <w:tcBorders>
              <w:top w:val="nil"/>
              <w:left w:val="nil"/>
              <w:bottom w:val="nil"/>
              <w:right w:val="nil"/>
            </w:tcBorders>
            <w:noWrap/>
            <w:vAlign w:val="bottom"/>
            <w:hideMark/>
          </w:tcPr>
          <w:p w14:paraId="34D1C78F"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Changes in Working Capital</w:t>
            </w:r>
          </w:p>
        </w:tc>
        <w:tc>
          <w:tcPr>
            <w:tcW w:w="1616" w:type="dxa"/>
            <w:tcBorders>
              <w:top w:val="nil"/>
              <w:left w:val="nil"/>
              <w:bottom w:val="nil"/>
              <w:right w:val="nil"/>
            </w:tcBorders>
            <w:noWrap/>
            <w:vAlign w:val="bottom"/>
            <w:hideMark/>
          </w:tcPr>
          <w:p w14:paraId="6EE18F44"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nil"/>
              <w:right w:val="nil"/>
            </w:tcBorders>
            <w:noWrap/>
            <w:vAlign w:val="bottom"/>
            <w:hideMark/>
          </w:tcPr>
          <w:p w14:paraId="5E420722"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(2,928)</w:t>
            </w:r>
          </w:p>
        </w:tc>
        <w:tc>
          <w:tcPr>
            <w:tcW w:w="1050" w:type="dxa"/>
            <w:tcBorders>
              <w:top w:val="nil"/>
              <w:left w:val="nil"/>
              <w:bottom w:val="nil"/>
              <w:right w:val="nil"/>
            </w:tcBorders>
            <w:noWrap/>
            <w:vAlign w:val="bottom"/>
            <w:hideMark/>
          </w:tcPr>
          <w:p w14:paraId="26187EB1"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3,675</w:t>
            </w:r>
          </w:p>
        </w:tc>
        <w:tc>
          <w:tcPr>
            <w:tcW w:w="1096" w:type="dxa"/>
            <w:tcBorders>
              <w:top w:val="nil"/>
              <w:left w:val="nil"/>
              <w:bottom w:val="nil"/>
              <w:right w:val="nil"/>
            </w:tcBorders>
            <w:noWrap/>
            <w:vAlign w:val="bottom"/>
            <w:hideMark/>
          </w:tcPr>
          <w:p w14:paraId="14C10FE4"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2,903</w:t>
            </w:r>
          </w:p>
        </w:tc>
        <w:tc>
          <w:tcPr>
            <w:tcW w:w="1050" w:type="dxa"/>
            <w:tcBorders>
              <w:top w:val="nil"/>
              <w:left w:val="nil"/>
              <w:bottom w:val="nil"/>
              <w:right w:val="nil"/>
            </w:tcBorders>
            <w:noWrap/>
            <w:vAlign w:val="bottom"/>
            <w:hideMark/>
          </w:tcPr>
          <w:p w14:paraId="4D8B4B29"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2,785</w:t>
            </w:r>
          </w:p>
        </w:tc>
        <w:tc>
          <w:tcPr>
            <w:tcW w:w="1050" w:type="dxa"/>
            <w:tcBorders>
              <w:top w:val="nil"/>
              <w:left w:val="nil"/>
              <w:bottom w:val="nil"/>
              <w:right w:val="nil"/>
            </w:tcBorders>
            <w:noWrap/>
            <w:vAlign w:val="bottom"/>
            <w:hideMark/>
          </w:tcPr>
          <w:p w14:paraId="73CF399C"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2,632</w:t>
            </w:r>
          </w:p>
        </w:tc>
      </w:tr>
      <w:tr w:rsidR="00A70B77" w:rsidRPr="001B33B0" w14:paraId="36384724" w14:textId="77777777" w:rsidTr="00A70B77">
        <w:trPr>
          <w:trHeight w:val="288"/>
        </w:trPr>
        <w:tc>
          <w:tcPr>
            <w:tcW w:w="3456" w:type="dxa"/>
            <w:tcBorders>
              <w:top w:val="nil"/>
              <w:left w:val="nil"/>
              <w:bottom w:val="nil"/>
              <w:right w:val="nil"/>
            </w:tcBorders>
            <w:noWrap/>
            <w:vAlign w:val="bottom"/>
            <w:hideMark/>
          </w:tcPr>
          <w:p w14:paraId="4E431192"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Capital Expenditure</w:t>
            </w:r>
          </w:p>
        </w:tc>
        <w:tc>
          <w:tcPr>
            <w:tcW w:w="1616" w:type="dxa"/>
            <w:tcBorders>
              <w:top w:val="nil"/>
              <w:left w:val="nil"/>
              <w:bottom w:val="nil"/>
              <w:right w:val="nil"/>
            </w:tcBorders>
            <w:noWrap/>
            <w:vAlign w:val="bottom"/>
            <w:hideMark/>
          </w:tcPr>
          <w:p w14:paraId="7E05F510"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nil"/>
              <w:right w:val="nil"/>
            </w:tcBorders>
            <w:noWrap/>
            <w:vAlign w:val="bottom"/>
            <w:hideMark/>
          </w:tcPr>
          <w:p w14:paraId="45975DA6"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(13,354)</w:t>
            </w:r>
          </w:p>
        </w:tc>
        <w:tc>
          <w:tcPr>
            <w:tcW w:w="1050" w:type="dxa"/>
            <w:tcBorders>
              <w:top w:val="nil"/>
              <w:left w:val="nil"/>
              <w:bottom w:val="nil"/>
              <w:right w:val="nil"/>
            </w:tcBorders>
            <w:noWrap/>
            <w:vAlign w:val="bottom"/>
            <w:hideMark/>
          </w:tcPr>
          <w:p w14:paraId="5AF08670"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(15,166)</w:t>
            </w:r>
          </w:p>
        </w:tc>
        <w:tc>
          <w:tcPr>
            <w:tcW w:w="1096" w:type="dxa"/>
            <w:tcBorders>
              <w:top w:val="nil"/>
              <w:left w:val="nil"/>
              <w:bottom w:val="nil"/>
              <w:right w:val="nil"/>
            </w:tcBorders>
            <w:noWrap/>
            <w:vAlign w:val="bottom"/>
            <w:hideMark/>
          </w:tcPr>
          <w:p w14:paraId="58626E6C"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(16,000)</w:t>
            </w:r>
          </w:p>
        </w:tc>
        <w:tc>
          <w:tcPr>
            <w:tcW w:w="1050" w:type="dxa"/>
            <w:tcBorders>
              <w:top w:val="nil"/>
              <w:left w:val="nil"/>
              <w:bottom w:val="nil"/>
              <w:right w:val="nil"/>
            </w:tcBorders>
            <w:noWrap/>
            <w:vAlign w:val="bottom"/>
            <w:hideMark/>
          </w:tcPr>
          <w:p w14:paraId="5333091D"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(16,800)</w:t>
            </w:r>
          </w:p>
        </w:tc>
        <w:tc>
          <w:tcPr>
            <w:tcW w:w="1050" w:type="dxa"/>
            <w:tcBorders>
              <w:top w:val="nil"/>
              <w:left w:val="nil"/>
              <w:bottom w:val="nil"/>
              <w:right w:val="nil"/>
            </w:tcBorders>
            <w:noWrap/>
            <w:vAlign w:val="bottom"/>
            <w:hideMark/>
          </w:tcPr>
          <w:p w14:paraId="67F17C3E"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(17,556)</w:t>
            </w:r>
          </w:p>
        </w:tc>
      </w:tr>
      <w:tr w:rsidR="00A70B77" w:rsidRPr="001B33B0" w14:paraId="7521D9A7" w14:textId="77777777" w:rsidTr="00A70B77">
        <w:trPr>
          <w:trHeight w:val="288"/>
        </w:trPr>
        <w:tc>
          <w:tcPr>
            <w:tcW w:w="3456" w:type="dxa"/>
            <w:tcBorders>
              <w:top w:val="nil"/>
              <w:left w:val="nil"/>
              <w:bottom w:val="nil"/>
              <w:right w:val="nil"/>
            </w:tcBorders>
            <w:noWrap/>
            <w:vAlign w:val="bottom"/>
            <w:hideMark/>
          </w:tcPr>
          <w:p w14:paraId="280E0A25"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Taxes (tax rate x EBIT)</w:t>
            </w:r>
          </w:p>
        </w:tc>
        <w:tc>
          <w:tcPr>
            <w:tcW w:w="1616" w:type="dxa"/>
            <w:tcBorders>
              <w:top w:val="nil"/>
              <w:left w:val="nil"/>
              <w:bottom w:val="nil"/>
              <w:right w:val="nil"/>
            </w:tcBorders>
            <w:noWrap/>
            <w:vAlign w:val="bottom"/>
            <w:hideMark/>
          </w:tcPr>
          <w:p w14:paraId="3DA7EDA8"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nil"/>
              <w:right w:val="nil"/>
            </w:tcBorders>
            <w:noWrap/>
            <w:vAlign w:val="bottom"/>
            <w:hideMark/>
          </w:tcPr>
          <w:p w14:paraId="6E55130E"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(26,593)</w:t>
            </w:r>
          </w:p>
        </w:tc>
        <w:tc>
          <w:tcPr>
            <w:tcW w:w="1050" w:type="dxa"/>
            <w:tcBorders>
              <w:top w:val="nil"/>
              <w:left w:val="nil"/>
              <w:bottom w:val="nil"/>
              <w:right w:val="nil"/>
            </w:tcBorders>
            <w:noWrap/>
            <w:vAlign w:val="bottom"/>
            <w:hideMark/>
          </w:tcPr>
          <w:p w14:paraId="50C8F5CC"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(27,243)</w:t>
            </w:r>
          </w:p>
        </w:tc>
        <w:tc>
          <w:tcPr>
            <w:tcW w:w="1096" w:type="dxa"/>
            <w:tcBorders>
              <w:top w:val="nil"/>
              <w:left w:val="nil"/>
              <w:bottom w:val="nil"/>
              <w:right w:val="nil"/>
            </w:tcBorders>
            <w:noWrap/>
            <w:vAlign w:val="bottom"/>
            <w:hideMark/>
          </w:tcPr>
          <w:p w14:paraId="488A7ABC"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(28,742)</w:t>
            </w:r>
          </w:p>
        </w:tc>
        <w:tc>
          <w:tcPr>
            <w:tcW w:w="1050" w:type="dxa"/>
            <w:tcBorders>
              <w:top w:val="nil"/>
              <w:left w:val="nil"/>
              <w:bottom w:val="nil"/>
              <w:right w:val="nil"/>
            </w:tcBorders>
            <w:noWrap/>
            <w:vAlign w:val="bottom"/>
            <w:hideMark/>
          </w:tcPr>
          <w:p w14:paraId="03936028"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(30,179)</w:t>
            </w:r>
          </w:p>
        </w:tc>
        <w:tc>
          <w:tcPr>
            <w:tcW w:w="1050" w:type="dxa"/>
            <w:tcBorders>
              <w:top w:val="nil"/>
              <w:left w:val="nil"/>
              <w:bottom w:val="nil"/>
              <w:right w:val="nil"/>
            </w:tcBorders>
            <w:noWrap/>
            <w:vAlign w:val="bottom"/>
            <w:hideMark/>
          </w:tcPr>
          <w:p w14:paraId="47DC9A8C"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(31,537)</w:t>
            </w:r>
          </w:p>
        </w:tc>
      </w:tr>
      <w:tr w:rsidR="00A70B77" w:rsidRPr="001B33B0" w14:paraId="789C9D04" w14:textId="77777777" w:rsidTr="00A70B77">
        <w:trPr>
          <w:trHeight w:val="288"/>
        </w:trPr>
        <w:tc>
          <w:tcPr>
            <w:tcW w:w="3456" w:type="dxa"/>
            <w:tcBorders>
              <w:top w:val="nil"/>
              <w:left w:val="nil"/>
              <w:bottom w:val="nil"/>
              <w:right w:val="nil"/>
            </w:tcBorders>
            <w:noWrap/>
            <w:vAlign w:val="bottom"/>
            <w:hideMark/>
          </w:tcPr>
          <w:p w14:paraId="2EA7D1FB"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Deferred income taxes</w:t>
            </w:r>
          </w:p>
        </w:tc>
        <w:tc>
          <w:tcPr>
            <w:tcW w:w="1616" w:type="dxa"/>
            <w:tcBorders>
              <w:top w:val="nil"/>
              <w:left w:val="nil"/>
              <w:bottom w:val="nil"/>
              <w:right w:val="nil"/>
            </w:tcBorders>
            <w:noWrap/>
            <w:vAlign w:val="bottom"/>
            <w:hideMark/>
          </w:tcPr>
          <w:p w14:paraId="772F5CD4"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nil"/>
              <w:right w:val="nil"/>
            </w:tcBorders>
            <w:noWrap/>
            <w:vAlign w:val="bottom"/>
            <w:hideMark/>
          </w:tcPr>
          <w:p w14:paraId="6F091844"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72</w:t>
            </w:r>
          </w:p>
        </w:tc>
        <w:tc>
          <w:tcPr>
            <w:tcW w:w="1050" w:type="dxa"/>
            <w:tcBorders>
              <w:top w:val="nil"/>
              <w:left w:val="nil"/>
              <w:bottom w:val="nil"/>
              <w:right w:val="nil"/>
            </w:tcBorders>
            <w:noWrap/>
            <w:vAlign w:val="bottom"/>
            <w:hideMark/>
          </w:tcPr>
          <w:p w14:paraId="4AF4CE3B"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386</w:t>
            </w:r>
          </w:p>
        </w:tc>
        <w:tc>
          <w:tcPr>
            <w:tcW w:w="1096" w:type="dxa"/>
            <w:tcBorders>
              <w:top w:val="nil"/>
              <w:left w:val="nil"/>
              <w:bottom w:val="nil"/>
              <w:right w:val="nil"/>
            </w:tcBorders>
            <w:noWrap/>
            <w:vAlign w:val="bottom"/>
            <w:hideMark/>
          </w:tcPr>
          <w:p w14:paraId="2C988C12"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576</w:t>
            </w:r>
          </w:p>
        </w:tc>
        <w:tc>
          <w:tcPr>
            <w:tcW w:w="1050" w:type="dxa"/>
            <w:tcBorders>
              <w:top w:val="nil"/>
              <w:left w:val="nil"/>
              <w:bottom w:val="nil"/>
              <w:right w:val="nil"/>
            </w:tcBorders>
            <w:noWrap/>
            <w:vAlign w:val="bottom"/>
            <w:hideMark/>
          </w:tcPr>
          <w:p w14:paraId="734251D2"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650</w:t>
            </w:r>
          </w:p>
        </w:tc>
        <w:tc>
          <w:tcPr>
            <w:tcW w:w="1050" w:type="dxa"/>
            <w:tcBorders>
              <w:top w:val="nil"/>
              <w:left w:val="nil"/>
              <w:bottom w:val="nil"/>
              <w:right w:val="nil"/>
            </w:tcBorders>
            <w:noWrap/>
            <w:vAlign w:val="bottom"/>
            <w:hideMark/>
          </w:tcPr>
          <w:p w14:paraId="5249E9D6"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637</w:t>
            </w:r>
          </w:p>
        </w:tc>
      </w:tr>
      <w:tr w:rsidR="00A70B77" w:rsidRPr="001B33B0" w14:paraId="7D896C91" w14:textId="77777777" w:rsidTr="00A70B77">
        <w:trPr>
          <w:trHeight w:val="288"/>
        </w:trPr>
        <w:tc>
          <w:tcPr>
            <w:tcW w:w="3456" w:type="dxa"/>
            <w:tcBorders>
              <w:top w:val="nil"/>
              <w:left w:val="nil"/>
              <w:bottom w:val="nil"/>
              <w:right w:val="nil"/>
            </w:tcBorders>
            <w:noWrap/>
            <w:vAlign w:val="bottom"/>
            <w:hideMark/>
          </w:tcPr>
          <w:p w14:paraId="2B40A056" w14:textId="77777777" w:rsidR="00A70B77" w:rsidRPr="001B33B0" w:rsidRDefault="00A70B77" w:rsidP="00A70B77">
            <w:pPr>
              <w:spacing w:after="0" w:line="240" w:lineRule="auto"/>
              <w:rPr>
                <w:rFonts w:eastAsia="Times New Roman" w:cs="Arial"/>
                <w:b/>
                <w:bCs/>
                <w:color w:val="8064A2"/>
                <w:sz w:val="20"/>
                <w:szCs w:val="20"/>
              </w:rPr>
            </w:pPr>
            <w:r w:rsidRPr="001B33B0">
              <w:rPr>
                <w:rFonts w:eastAsia="Times New Roman" w:cs="Arial"/>
                <w:b/>
                <w:bCs/>
                <w:color w:val="8064A2"/>
                <w:sz w:val="20"/>
                <w:szCs w:val="20"/>
              </w:rPr>
              <w:t>Total Unlevered Free Cash Flow</w:t>
            </w:r>
          </w:p>
        </w:tc>
        <w:tc>
          <w:tcPr>
            <w:tcW w:w="1616" w:type="dxa"/>
            <w:tcBorders>
              <w:top w:val="nil"/>
              <w:left w:val="nil"/>
              <w:bottom w:val="nil"/>
              <w:right w:val="nil"/>
            </w:tcBorders>
            <w:noWrap/>
            <w:vAlign w:val="bottom"/>
            <w:hideMark/>
          </w:tcPr>
          <w:p w14:paraId="6953BCB6" w14:textId="77777777" w:rsidR="00A70B77" w:rsidRPr="001B33B0" w:rsidRDefault="00A70B77" w:rsidP="00A70B77">
            <w:pPr>
              <w:spacing w:after="0" w:line="240" w:lineRule="auto"/>
              <w:rPr>
                <w:rFonts w:eastAsia="Times New Roman" w:cs="Arial"/>
                <w:b/>
                <w:bCs/>
                <w:color w:val="8064A2"/>
                <w:sz w:val="20"/>
                <w:szCs w:val="20"/>
              </w:rPr>
            </w:pPr>
          </w:p>
        </w:tc>
        <w:tc>
          <w:tcPr>
            <w:tcW w:w="1876" w:type="dxa"/>
            <w:tcBorders>
              <w:top w:val="single" w:sz="4" w:space="0" w:color="auto"/>
              <w:left w:val="nil"/>
              <w:bottom w:val="single" w:sz="4" w:space="0" w:color="auto"/>
              <w:right w:val="nil"/>
            </w:tcBorders>
            <w:noWrap/>
            <w:vAlign w:val="bottom"/>
            <w:hideMark/>
          </w:tcPr>
          <w:p w14:paraId="4C7B782B" w14:textId="77777777" w:rsidR="00A70B77" w:rsidRPr="001B33B0" w:rsidRDefault="00A70B77" w:rsidP="00A70B77">
            <w:pPr>
              <w:spacing w:after="0" w:line="240" w:lineRule="auto"/>
              <w:jc w:val="right"/>
              <w:rPr>
                <w:rFonts w:eastAsia="Times New Roman" w:cs="Arial"/>
                <w:b/>
                <w:bCs/>
                <w:color w:val="000000"/>
                <w:sz w:val="20"/>
                <w:szCs w:val="20"/>
              </w:rPr>
            </w:pPr>
            <w:r w:rsidRPr="001B33B0">
              <w:rPr>
                <w:rFonts w:eastAsia="Times New Roman" w:cs="Arial"/>
                <w:b/>
                <w:bCs/>
                <w:color w:val="000000"/>
                <w:sz w:val="20"/>
                <w:szCs w:val="20"/>
              </w:rPr>
              <w:t>125,078</w:t>
            </w:r>
          </w:p>
        </w:tc>
        <w:tc>
          <w:tcPr>
            <w:tcW w:w="1050" w:type="dxa"/>
            <w:tcBorders>
              <w:top w:val="single" w:sz="4" w:space="0" w:color="auto"/>
              <w:left w:val="nil"/>
              <w:bottom w:val="single" w:sz="4" w:space="0" w:color="auto"/>
              <w:right w:val="nil"/>
            </w:tcBorders>
            <w:noWrap/>
            <w:vAlign w:val="bottom"/>
            <w:hideMark/>
          </w:tcPr>
          <w:p w14:paraId="37BDF299" w14:textId="77777777" w:rsidR="00A70B77" w:rsidRPr="001B33B0" w:rsidRDefault="00A70B77" w:rsidP="00A70B77">
            <w:pPr>
              <w:spacing w:after="0" w:line="240" w:lineRule="auto"/>
              <w:jc w:val="right"/>
              <w:rPr>
                <w:rFonts w:eastAsia="Times New Roman" w:cs="Arial"/>
                <w:b/>
                <w:bCs/>
                <w:color w:val="000000"/>
                <w:sz w:val="20"/>
                <w:szCs w:val="20"/>
              </w:rPr>
            </w:pPr>
            <w:r w:rsidRPr="001B33B0">
              <w:rPr>
                <w:rFonts w:eastAsia="Times New Roman" w:cs="Arial"/>
                <w:b/>
                <w:bCs/>
                <w:color w:val="000000"/>
                <w:sz w:val="20"/>
                <w:szCs w:val="20"/>
              </w:rPr>
              <w:t>135,042</w:t>
            </w:r>
          </w:p>
        </w:tc>
        <w:tc>
          <w:tcPr>
            <w:tcW w:w="1096" w:type="dxa"/>
            <w:tcBorders>
              <w:top w:val="single" w:sz="4" w:space="0" w:color="auto"/>
              <w:left w:val="nil"/>
              <w:bottom w:val="single" w:sz="4" w:space="0" w:color="auto"/>
              <w:right w:val="nil"/>
            </w:tcBorders>
            <w:noWrap/>
            <w:vAlign w:val="bottom"/>
            <w:hideMark/>
          </w:tcPr>
          <w:p w14:paraId="0D109D6B" w14:textId="77777777" w:rsidR="00A70B77" w:rsidRPr="001B33B0" w:rsidRDefault="00A70B77" w:rsidP="00A70B77">
            <w:pPr>
              <w:spacing w:after="0" w:line="240" w:lineRule="auto"/>
              <w:jc w:val="right"/>
              <w:rPr>
                <w:rFonts w:eastAsia="Times New Roman" w:cs="Arial"/>
                <w:b/>
                <w:bCs/>
                <w:color w:val="000000"/>
                <w:sz w:val="20"/>
                <w:szCs w:val="20"/>
              </w:rPr>
            </w:pPr>
            <w:r w:rsidRPr="001B33B0">
              <w:rPr>
                <w:rFonts w:eastAsia="Times New Roman" w:cs="Arial"/>
                <w:b/>
                <w:bCs/>
                <w:color w:val="000000"/>
                <w:sz w:val="20"/>
                <w:szCs w:val="20"/>
              </w:rPr>
              <w:t>142,720</w:t>
            </w:r>
          </w:p>
        </w:tc>
        <w:tc>
          <w:tcPr>
            <w:tcW w:w="1050" w:type="dxa"/>
            <w:tcBorders>
              <w:top w:val="single" w:sz="4" w:space="0" w:color="auto"/>
              <w:left w:val="nil"/>
              <w:bottom w:val="single" w:sz="4" w:space="0" w:color="auto"/>
              <w:right w:val="nil"/>
            </w:tcBorders>
            <w:noWrap/>
            <w:vAlign w:val="bottom"/>
            <w:hideMark/>
          </w:tcPr>
          <w:p w14:paraId="5173D06F" w14:textId="77777777" w:rsidR="00A70B77" w:rsidRPr="001B33B0" w:rsidRDefault="00A70B77" w:rsidP="00A70B77">
            <w:pPr>
              <w:spacing w:after="0" w:line="240" w:lineRule="auto"/>
              <w:jc w:val="right"/>
              <w:rPr>
                <w:rFonts w:eastAsia="Times New Roman" w:cs="Arial"/>
                <w:b/>
                <w:bCs/>
                <w:color w:val="000000"/>
                <w:sz w:val="20"/>
                <w:szCs w:val="20"/>
              </w:rPr>
            </w:pPr>
            <w:r w:rsidRPr="001B33B0">
              <w:rPr>
                <w:rFonts w:eastAsia="Times New Roman" w:cs="Arial"/>
                <w:b/>
                <w:bCs/>
                <w:color w:val="000000"/>
                <w:sz w:val="20"/>
                <w:szCs w:val="20"/>
              </w:rPr>
              <w:t>150,759</w:t>
            </w:r>
          </w:p>
        </w:tc>
        <w:tc>
          <w:tcPr>
            <w:tcW w:w="1050" w:type="dxa"/>
            <w:tcBorders>
              <w:top w:val="single" w:sz="4" w:space="0" w:color="auto"/>
              <w:left w:val="nil"/>
              <w:bottom w:val="single" w:sz="4" w:space="0" w:color="auto"/>
              <w:right w:val="nil"/>
            </w:tcBorders>
            <w:noWrap/>
            <w:vAlign w:val="bottom"/>
            <w:hideMark/>
          </w:tcPr>
          <w:p w14:paraId="631025DD" w14:textId="77777777" w:rsidR="00A70B77" w:rsidRPr="001B33B0" w:rsidRDefault="00A70B77" w:rsidP="00A70B77">
            <w:pPr>
              <w:spacing w:after="0" w:line="240" w:lineRule="auto"/>
              <w:jc w:val="right"/>
              <w:rPr>
                <w:rFonts w:eastAsia="Times New Roman" w:cs="Arial"/>
                <w:b/>
                <w:bCs/>
                <w:color w:val="000000"/>
                <w:sz w:val="20"/>
                <w:szCs w:val="20"/>
              </w:rPr>
            </w:pPr>
            <w:r w:rsidRPr="001B33B0">
              <w:rPr>
                <w:rFonts w:eastAsia="Times New Roman" w:cs="Arial"/>
                <w:b/>
                <w:bCs/>
                <w:color w:val="000000"/>
                <w:sz w:val="20"/>
                <w:szCs w:val="20"/>
              </w:rPr>
              <w:t>158,417</w:t>
            </w:r>
          </w:p>
        </w:tc>
      </w:tr>
      <w:tr w:rsidR="00A70B77" w:rsidRPr="001B33B0" w14:paraId="1EFA2C40" w14:textId="77777777" w:rsidTr="00A70B77">
        <w:trPr>
          <w:trHeight w:val="288"/>
        </w:trPr>
        <w:tc>
          <w:tcPr>
            <w:tcW w:w="3456" w:type="dxa"/>
            <w:tcBorders>
              <w:top w:val="nil"/>
              <w:left w:val="nil"/>
              <w:bottom w:val="nil"/>
              <w:right w:val="nil"/>
            </w:tcBorders>
            <w:noWrap/>
            <w:vAlign w:val="bottom"/>
            <w:hideMark/>
          </w:tcPr>
          <w:p w14:paraId="1C16FC5A" w14:textId="77777777" w:rsidR="00A70B77" w:rsidRPr="001B33B0" w:rsidRDefault="00A70B77" w:rsidP="00A70B77">
            <w:pPr>
              <w:spacing w:after="0" w:line="240" w:lineRule="auto"/>
              <w:jc w:val="right"/>
              <w:rPr>
                <w:rFonts w:eastAsia="Times New Roman" w:cs="Arial"/>
                <w:b/>
                <w:bCs/>
                <w:color w:val="000000"/>
                <w:sz w:val="20"/>
                <w:szCs w:val="20"/>
              </w:rPr>
            </w:pPr>
          </w:p>
        </w:tc>
        <w:tc>
          <w:tcPr>
            <w:tcW w:w="1616" w:type="dxa"/>
            <w:tcBorders>
              <w:top w:val="nil"/>
              <w:left w:val="nil"/>
              <w:bottom w:val="nil"/>
              <w:right w:val="nil"/>
            </w:tcBorders>
            <w:noWrap/>
            <w:vAlign w:val="bottom"/>
            <w:hideMark/>
          </w:tcPr>
          <w:p w14:paraId="38DBBDF8"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876" w:type="dxa"/>
            <w:tcBorders>
              <w:top w:val="nil"/>
              <w:left w:val="nil"/>
              <w:bottom w:val="nil"/>
              <w:right w:val="nil"/>
            </w:tcBorders>
            <w:noWrap/>
            <w:vAlign w:val="bottom"/>
            <w:hideMark/>
          </w:tcPr>
          <w:p w14:paraId="6113B28D"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BB5B4CC"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96" w:type="dxa"/>
            <w:tcBorders>
              <w:top w:val="nil"/>
              <w:left w:val="nil"/>
              <w:bottom w:val="nil"/>
              <w:right w:val="nil"/>
            </w:tcBorders>
            <w:noWrap/>
            <w:vAlign w:val="bottom"/>
            <w:hideMark/>
          </w:tcPr>
          <w:p w14:paraId="14E5CD54"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F02D37A"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3A77BF7F"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35331F5A" w14:textId="77777777" w:rsidTr="00A70B77">
        <w:trPr>
          <w:trHeight w:val="288"/>
        </w:trPr>
        <w:tc>
          <w:tcPr>
            <w:tcW w:w="3456" w:type="dxa"/>
            <w:tcBorders>
              <w:top w:val="nil"/>
              <w:left w:val="nil"/>
              <w:bottom w:val="nil"/>
              <w:right w:val="nil"/>
            </w:tcBorders>
            <w:noWrap/>
            <w:vAlign w:val="bottom"/>
            <w:hideMark/>
          </w:tcPr>
          <w:p w14:paraId="7E80672B" w14:textId="77777777" w:rsidR="00A70B77" w:rsidRPr="001B33B0" w:rsidRDefault="00A70B77" w:rsidP="00A70B77">
            <w:pPr>
              <w:spacing w:after="0" w:line="240" w:lineRule="auto"/>
              <w:rPr>
                <w:rFonts w:eastAsia="Times New Roman" w:cs="Arial"/>
                <w:b/>
                <w:bCs/>
                <w:color w:val="8064A2"/>
                <w:sz w:val="20"/>
                <w:szCs w:val="20"/>
              </w:rPr>
            </w:pPr>
            <w:r w:rsidRPr="001B33B0">
              <w:rPr>
                <w:rFonts w:eastAsia="Times New Roman" w:cs="Arial"/>
                <w:b/>
                <w:bCs/>
                <w:color w:val="8064A2"/>
                <w:sz w:val="20"/>
                <w:szCs w:val="20"/>
              </w:rPr>
              <w:t>Net Present Value Calculation</w:t>
            </w:r>
          </w:p>
        </w:tc>
        <w:tc>
          <w:tcPr>
            <w:tcW w:w="1616" w:type="dxa"/>
            <w:tcBorders>
              <w:top w:val="nil"/>
              <w:left w:val="nil"/>
              <w:bottom w:val="nil"/>
              <w:right w:val="nil"/>
            </w:tcBorders>
            <w:noWrap/>
            <w:vAlign w:val="bottom"/>
            <w:hideMark/>
          </w:tcPr>
          <w:p w14:paraId="1F02C73F" w14:textId="77777777" w:rsidR="00A70B77" w:rsidRPr="001B33B0" w:rsidRDefault="00A70B77" w:rsidP="00A70B77">
            <w:pPr>
              <w:spacing w:after="0" w:line="240" w:lineRule="auto"/>
              <w:rPr>
                <w:rFonts w:eastAsia="Times New Roman" w:cs="Arial"/>
                <w:b/>
                <w:bCs/>
                <w:color w:val="8064A2"/>
                <w:sz w:val="20"/>
                <w:szCs w:val="20"/>
              </w:rPr>
            </w:pPr>
          </w:p>
        </w:tc>
        <w:tc>
          <w:tcPr>
            <w:tcW w:w="1876" w:type="dxa"/>
            <w:tcBorders>
              <w:top w:val="nil"/>
              <w:left w:val="nil"/>
              <w:bottom w:val="nil"/>
              <w:right w:val="nil"/>
            </w:tcBorders>
            <w:noWrap/>
            <w:vAlign w:val="bottom"/>
            <w:hideMark/>
          </w:tcPr>
          <w:p w14:paraId="48A281A5"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1D5474E7"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96" w:type="dxa"/>
            <w:tcBorders>
              <w:top w:val="nil"/>
              <w:left w:val="nil"/>
              <w:bottom w:val="nil"/>
              <w:right w:val="nil"/>
            </w:tcBorders>
            <w:noWrap/>
            <w:vAlign w:val="bottom"/>
            <w:hideMark/>
          </w:tcPr>
          <w:p w14:paraId="4C159337"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72BD81E4"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6B2CEAA8"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67B4504F" w14:textId="77777777" w:rsidTr="00A70B77">
        <w:trPr>
          <w:trHeight w:val="288"/>
        </w:trPr>
        <w:tc>
          <w:tcPr>
            <w:tcW w:w="3456" w:type="dxa"/>
            <w:tcBorders>
              <w:top w:val="nil"/>
              <w:left w:val="nil"/>
              <w:bottom w:val="nil"/>
              <w:right w:val="nil"/>
            </w:tcBorders>
            <w:noWrap/>
            <w:vAlign w:val="bottom"/>
            <w:hideMark/>
          </w:tcPr>
          <w:p w14:paraId="05467DF7"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Period (end-of-year convention)</w:t>
            </w:r>
          </w:p>
        </w:tc>
        <w:tc>
          <w:tcPr>
            <w:tcW w:w="1616" w:type="dxa"/>
            <w:tcBorders>
              <w:top w:val="nil"/>
              <w:left w:val="nil"/>
              <w:bottom w:val="nil"/>
              <w:right w:val="nil"/>
            </w:tcBorders>
            <w:noWrap/>
            <w:vAlign w:val="bottom"/>
            <w:hideMark/>
          </w:tcPr>
          <w:p w14:paraId="7C5B1E08"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nil"/>
              <w:right w:val="nil"/>
            </w:tcBorders>
            <w:noWrap/>
            <w:vAlign w:val="bottom"/>
            <w:hideMark/>
          </w:tcPr>
          <w:p w14:paraId="4E9C06AD"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1</w:t>
            </w:r>
          </w:p>
        </w:tc>
        <w:tc>
          <w:tcPr>
            <w:tcW w:w="1050" w:type="dxa"/>
            <w:tcBorders>
              <w:top w:val="nil"/>
              <w:left w:val="nil"/>
              <w:bottom w:val="nil"/>
              <w:right w:val="nil"/>
            </w:tcBorders>
            <w:noWrap/>
            <w:vAlign w:val="bottom"/>
            <w:hideMark/>
          </w:tcPr>
          <w:p w14:paraId="52B8F8BB"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2</w:t>
            </w:r>
          </w:p>
        </w:tc>
        <w:tc>
          <w:tcPr>
            <w:tcW w:w="1096" w:type="dxa"/>
            <w:tcBorders>
              <w:top w:val="nil"/>
              <w:left w:val="nil"/>
              <w:bottom w:val="nil"/>
              <w:right w:val="nil"/>
            </w:tcBorders>
            <w:noWrap/>
            <w:vAlign w:val="bottom"/>
            <w:hideMark/>
          </w:tcPr>
          <w:p w14:paraId="1D2B0EA1"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3</w:t>
            </w:r>
          </w:p>
        </w:tc>
        <w:tc>
          <w:tcPr>
            <w:tcW w:w="1050" w:type="dxa"/>
            <w:tcBorders>
              <w:top w:val="nil"/>
              <w:left w:val="nil"/>
              <w:bottom w:val="nil"/>
              <w:right w:val="nil"/>
            </w:tcBorders>
            <w:noWrap/>
            <w:vAlign w:val="bottom"/>
            <w:hideMark/>
          </w:tcPr>
          <w:p w14:paraId="17DCF129"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4</w:t>
            </w:r>
          </w:p>
        </w:tc>
        <w:tc>
          <w:tcPr>
            <w:tcW w:w="1050" w:type="dxa"/>
            <w:tcBorders>
              <w:top w:val="nil"/>
              <w:left w:val="nil"/>
              <w:bottom w:val="nil"/>
              <w:right w:val="nil"/>
            </w:tcBorders>
            <w:noWrap/>
            <w:vAlign w:val="bottom"/>
            <w:hideMark/>
          </w:tcPr>
          <w:p w14:paraId="121C6DFD" w14:textId="77777777" w:rsidR="00A70B77" w:rsidRPr="001B33B0" w:rsidRDefault="00A70B77" w:rsidP="00A70B77">
            <w:pPr>
              <w:spacing w:after="0" w:line="240" w:lineRule="auto"/>
              <w:jc w:val="right"/>
              <w:rPr>
                <w:rFonts w:eastAsia="Times New Roman" w:cs="Arial"/>
                <w:sz w:val="20"/>
                <w:szCs w:val="20"/>
              </w:rPr>
            </w:pPr>
            <w:r w:rsidRPr="001B33B0">
              <w:rPr>
                <w:rFonts w:eastAsia="Times New Roman" w:cs="Arial"/>
                <w:sz w:val="20"/>
                <w:szCs w:val="20"/>
              </w:rPr>
              <w:t>5</w:t>
            </w:r>
          </w:p>
        </w:tc>
      </w:tr>
      <w:tr w:rsidR="00A70B77" w:rsidRPr="001B33B0" w14:paraId="073E16BD" w14:textId="77777777" w:rsidTr="00A70B77">
        <w:trPr>
          <w:trHeight w:val="288"/>
        </w:trPr>
        <w:tc>
          <w:tcPr>
            <w:tcW w:w="3456" w:type="dxa"/>
            <w:tcBorders>
              <w:top w:val="nil"/>
              <w:left w:val="nil"/>
              <w:bottom w:val="nil"/>
              <w:right w:val="nil"/>
            </w:tcBorders>
            <w:noWrap/>
            <w:vAlign w:val="bottom"/>
            <w:hideMark/>
          </w:tcPr>
          <w:p w14:paraId="0B79D8E5"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Discounted Cash Flow</w:t>
            </w:r>
          </w:p>
        </w:tc>
        <w:tc>
          <w:tcPr>
            <w:tcW w:w="1616" w:type="dxa"/>
            <w:tcBorders>
              <w:top w:val="nil"/>
              <w:left w:val="nil"/>
              <w:bottom w:val="nil"/>
              <w:right w:val="nil"/>
            </w:tcBorders>
            <w:noWrap/>
            <w:vAlign w:val="bottom"/>
            <w:hideMark/>
          </w:tcPr>
          <w:p w14:paraId="5C8275C6"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10.08%</w:t>
            </w:r>
          </w:p>
        </w:tc>
        <w:tc>
          <w:tcPr>
            <w:tcW w:w="1876" w:type="dxa"/>
            <w:tcBorders>
              <w:top w:val="single" w:sz="4" w:space="0" w:color="auto"/>
              <w:left w:val="nil"/>
              <w:bottom w:val="single" w:sz="4" w:space="0" w:color="auto"/>
              <w:right w:val="nil"/>
            </w:tcBorders>
            <w:noWrap/>
            <w:vAlign w:val="bottom"/>
            <w:hideMark/>
          </w:tcPr>
          <w:p w14:paraId="13ED09B2"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113,625</w:t>
            </w:r>
          </w:p>
        </w:tc>
        <w:tc>
          <w:tcPr>
            <w:tcW w:w="1050" w:type="dxa"/>
            <w:tcBorders>
              <w:top w:val="single" w:sz="4" w:space="0" w:color="auto"/>
              <w:left w:val="nil"/>
              <w:bottom w:val="single" w:sz="4" w:space="0" w:color="auto"/>
              <w:right w:val="nil"/>
            </w:tcBorders>
            <w:noWrap/>
            <w:vAlign w:val="bottom"/>
            <w:hideMark/>
          </w:tcPr>
          <w:p w14:paraId="0799A033"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111,443</w:t>
            </w:r>
          </w:p>
        </w:tc>
        <w:tc>
          <w:tcPr>
            <w:tcW w:w="1096" w:type="dxa"/>
            <w:tcBorders>
              <w:top w:val="single" w:sz="4" w:space="0" w:color="auto"/>
              <w:left w:val="nil"/>
              <w:bottom w:val="single" w:sz="4" w:space="0" w:color="auto"/>
              <w:right w:val="nil"/>
            </w:tcBorders>
            <w:noWrap/>
            <w:vAlign w:val="bottom"/>
            <w:hideMark/>
          </w:tcPr>
          <w:p w14:paraId="2BA37049"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106,994</w:t>
            </w:r>
          </w:p>
        </w:tc>
        <w:tc>
          <w:tcPr>
            <w:tcW w:w="1050" w:type="dxa"/>
            <w:tcBorders>
              <w:top w:val="single" w:sz="4" w:space="0" w:color="auto"/>
              <w:left w:val="nil"/>
              <w:bottom w:val="single" w:sz="4" w:space="0" w:color="auto"/>
              <w:right w:val="nil"/>
            </w:tcBorders>
            <w:noWrap/>
            <w:vAlign w:val="bottom"/>
            <w:hideMark/>
          </w:tcPr>
          <w:p w14:paraId="38177D5B"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102,671</w:t>
            </w:r>
          </w:p>
        </w:tc>
        <w:tc>
          <w:tcPr>
            <w:tcW w:w="1050" w:type="dxa"/>
            <w:tcBorders>
              <w:top w:val="single" w:sz="4" w:space="0" w:color="auto"/>
              <w:left w:val="nil"/>
              <w:bottom w:val="single" w:sz="4" w:space="0" w:color="auto"/>
              <w:right w:val="nil"/>
            </w:tcBorders>
            <w:noWrap/>
            <w:vAlign w:val="bottom"/>
            <w:hideMark/>
          </w:tcPr>
          <w:p w14:paraId="7830E7EB"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98,007</w:t>
            </w:r>
          </w:p>
        </w:tc>
      </w:tr>
      <w:tr w:rsidR="00A70B77" w:rsidRPr="001B33B0" w14:paraId="765B8AAB" w14:textId="77777777" w:rsidTr="00A70B77">
        <w:trPr>
          <w:trHeight w:val="288"/>
        </w:trPr>
        <w:tc>
          <w:tcPr>
            <w:tcW w:w="3456" w:type="dxa"/>
            <w:tcBorders>
              <w:top w:val="nil"/>
              <w:left w:val="nil"/>
              <w:bottom w:val="nil"/>
              <w:right w:val="nil"/>
            </w:tcBorders>
            <w:noWrap/>
            <w:vAlign w:val="bottom"/>
            <w:hideMark/>
          </w:tcPr>
          <w:p w14:paraId="73FB0794" w14:textId="77777777" w:rsidR="00A70B77" w:rsidRPr="001B33B0" w:rsidRDefault="00A70B77" w:rsidP="00A70B77">
            <w:pPr>
              <w:spacing w:after="0" w:line="240" w:lineRule="auto"/>
              <w:rPr>
                <w:rFonts w:eastAsia="Times New Roman" w:cs="Arial"/>
                <w:b/>
                <w:bCs/>
                <w:color w:val="8064A2"/>
                <w:sz w:val="20"/>
                <w:szCs w:val="20"/>
              </w:rPr>
            </w:pPr>
            <w:r w:rsidRPr="001B33B0">
              <w:rPr>
                <w:rFonts w:eastAsia="Times New Roman" w:cs="Arial"/>
                <w:b/>
                <w:bCs/>
                <w:color w:val="8064A2"/>
                <w:sz w:val="20"/>
                <w:szCs w:val="20"/>
              </w:rPr>
              <w:t>Total Net Present Value</w:t>
            </w:r>
          </w:p>
        </w:tc>
        <w:tc>
          <w:tcPr>
            <w:tcW w:w="1616" w:type="dxa"/>
            <w:tcBorders>
              <w:top w:val="nil"/>
              <w:left w:val="nil"/>
              <w:bottom w:val="nil"/>
              <w:right w:val="nil"/>
            </w:tcBorders>
            <w:noWrap/>
            <w:vAlign w:val="bottom"/>
            <w:hideMark/>
          </w:tcPr>
          <w:p w14:paraId="005EBE71" w14:textId="77777777" w:rsidR="00A70B77" w:rsidRPr="001B33B0" w:rsidRDefault="00A70B77" w:rsidP="00A70B77">
            <w:pPr>
              <w:spacing w:after="0" w:line="240" w:lineRule="auto"/>
              <w:jc w:val="right"/>
              <w:rPr>
                <w:rFonts w:eastAsia="Times New Roman" w:cs="Arial"/>
                <w:b/>
                <w:bCs/>
                <w:color w:val="000000"/>
                <w:sz w:val="20"/>
                <w:szCs w:val="20"/>
              </w:rPr>
            </w:pPr>
            <w:r w:rsidRPr="001B33B0">
              <w:rPr>
                <w:rFonts w:eastAsia="Times New Roman" w:cs="Arial"/>
                <w:b/>
                <w:bCs/>
                <w:color w:val="000000"/>
                <w:sz w:val="20"/>
                <w:szCs w:val="20"/>
              </w:rPr>
              <w:t>532,739</w:t>
            </w:r>
          </w:p>
        </w:tc>
        <w:tc>
          <w:tcPr>
            <w:tcW w:w="1876" w:type="dxa"/>
            <w:tcBorders>
              <w:top w:val="nil"/>
              <w:left w:val="nil"/>
              <w:bottom w:val="nil"/>
              <w:right w:val="nil"/>
            </w:tcBorders>
            <w:noWrap/>
            <w:vAlign w:val="bottom"/>
            <w:hideMark/>
          </w:tcPr>
          <w:p w14:paraId="4DBCAA53" w14:textId="77777777" w:rsidR="00A70B77" w:rsidRPr="001B33B0" w:rsidRDefault="00A70B77" w:rsidP="00A70B77">
            <w:pPr>
              <w:spacing w:after="0" w:line="240" w:lineRule="auto"/>
              <w:jc w:val="right"/>
              <w:rPr>
                <w:rFonts w:eastAsia="Times New Roman" w:cs="Arial"/>
                <w:b/>
                <w:bCs/>
                <w:color w:val="000000"/>
                <w:sz w:val="20"/>
                <w:szCs w:val="20"/>
              </w:rPr>
            </w:pPr>
          </w:p>
        </w:tc>
        <w:tc>
          <w:tcPr>
            <w:tcW w:w="1050" w:type="dxa"/>
            <w:tcBorders>
              <w:top w:val="nil"/>
              <w:left w:val="nil"/>
              <w:bottom w:val="nil"/>
              <w:right w:val="nil"/>
            </w:tcBorders>
            <w:noWrap/>
            <w:vAlign w:val="bottom"/>
            <w:hideMark/>
          </w:tcPr>
          <w:p w14:paraId="59DF119C"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96" w:type="dxa"/>
            <w:tcBorders>
              <w:top w:val="nil"/>
              <w:left w:val="nil"/>
              <w:bottom w:val="nil"/>
              <w:right w:val="nil"/>
            </w:tcBorders>
            <w:noWrap/>
            <w:vAlign w:val="bottom"/>
            <w:hideMark/>
          </w:tcPr>
          <w:p w14:paraId="5DB385A1"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B1A6A46"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F6BD1C6"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7B4517C2" w14:textId="77777777" w:rsidTr="00A70B77">
        <w:trPr>
          <w:trHeight w:val="288"/>
        </w:trPr>
        <w:tc>
          <w:tcPr>
            <w:tcW w:w="3456" w:type="dxa"/>
            <w:tcBorders>
              <w:top w:val="nil"/>
              <w:left w:val="nil"/>
              <w:bottom w:val="nil"/>
              <w:right w:val="nil"/>
            </w:tcBorders>
            <w:noWrap/>
            <w:vAlign w:val="bottom"/>
            <w:hideMark/>
          </w:tcPr>
          <w:p w14:paraId="30E3B7FC"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616" w:type="dxa"/>
            <w:tcBorders>
              <w:top w:val="nil"/>
              <w:left w:val="nil"/>
              <w:bottom w:val="nil"/>
              <w:right w:val="nil"/>
            </w:tcBorders>
            <w:noWrap/>
            <w:vAlign w:val="bottom"/>
            <w:hideMark/>
          </w:tcPr>
          <w:p w14:paraId="2B160DBF"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876" w:type="dxa"/>
            <w:tcBorders>
              <w:top w:val="nil"/>
              <w:left w:val="nil"/>
              <w:bottom w:val="nil"/>
              <w:right w:val="nil"/>
            </w:tcBorders>
            <w:noWrap/>
            <w:vAlign w:val="bottom"/>
            <w:hideMark/>
          </w:tcPr>
          <w:p w14:paraId="081A3201"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6FFD0D21"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96" w:type="dxa"/>
            <w:tcBorders>
              <w:top w:val="nil"/>
              <w:left w:val="nil"/>
              <w:bottom w:val="nil"/>
              <w:right w:val="nil"/>
            </w:tcBorders>
            <w:noWrap/>
            <w:vAlign w:val="bottom"/>
            <w:hideMark/>
          </w:tcPr>
          <w:p w14:paraId="59ED90BD"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09D69647"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084FDFB0"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16CC5553" w14:textId="77777777" w:rsidTr="00A70B77">
        <w:trPr>
          <w:trHeight w:val="288"/>
        </w:trPr>
        <w:tc>
          <w:tcPr>
            <w:tcW w:w="3456" w:type="dxa"/>
            <w:tcBorders>
              <w:top w:val="nil"/>
              <w:left w:val="nil"/>
              <w:bottom w:val="nil"/>
              <w:right w:val="nil"/>
            </w:tcBorders>
            <w:noWrap/>
            <w:vAlign w:val="bottom"/>
            <w:hideMark/>
          </w:tcPr>
          <w:p w14:paraId="24AD6FDB" w14:textId="77777777" w:rsidR="00A70B77" w:rsidRPr="001B33B0" w:rsidRDefault="00A70B77" w:rsidP="00A70B77">
            <w:pPr>
              <w:spacing w:after="0" w:line="240" w:lineRule="auto"/>
              <w:rPr>
                <w:rFonts w:eastAsia="Times New Roman" w:cs="Arial"/>
                <w:b/>
                <w:bCs/>
                <w:color w:val="8064A2"/>
                <w:sz w:val="20"/>
                <w:szCs w:val="20"/>
              </w:rPr>
            </w:pPr>
            <w:r w:rsidRPr="001B33B0">
              <w:rPr>
                <w:rFonts w:eastAsia="Times New Roman" w:cs="Arial"/>
                <w:b/>
                <w:bCs/>
                <w:color w:val="8064A2"/>
                <w:sz w:val="20"/>
                <w:szCs w:val="20"/>
              </w:rPr>
              <w:t>Terminal Value</w:t>
            </w:r>
          </w:p>
        </w:tc>
        <w:tc>
          <w:tcPr>
            <w:tcW w:w="1616" w:type="dxa"/>
            <w:tcBorders>
              <w:top w:val="nil"/>
              <w:left w:val="nil"/>
              <w:bottom w:val="nil"/>
              <w:right w:val="nil"/>
            </w:tcBorders>
            <w:noWrap/>
            <w:vAlign w:val="bottom"/>
            <w:hideMark/>
          </w:tcPr>
          <w:p w14:paraId="2CA8DA22" w14:textId="77777777" w:rsidR="00A70B77" w:rsidRPr="001B33B0" w:rsidRDefault="00A70B77" w:rsidP="00A70B77">
            <w:pPr>
              <w:spacing w:after="0" w:line="240" w:lineRule="auto"/>
              <w:rPr>
                <w:rFonts w:eastAsia="Times New Roman" w:cs="Arial"/>
                <w:b/>
                <w:bCs/>
                <w:color w:val="8064A2"/>
                <w:sz w:val="20"/>
                <w:szCs w:val="20"/>
              </w:rPr>
            </w:pPr>
          </w:p>
        </w:tc>
        <w:tc>
          <w:tcPr>
            <w:tcW w:w="1876" w:type="dxa"/>
            <w:tcBorders>
              <w:top w:val="nil"/>
              <w:left w:val="nil"/>
              <w:bottom w:val="nil"/>
              <w:right w:val="nil"/>
            </w:tcBorders>
            <w:noWrap/>
            <w:vAlign w:val="bottom"/>
            <w:hideMark/>
          </w:tcPr>
          <w:p w14:paraId="64C51F51"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794F65E0"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96" w:type="dxa"/>
            <w:tcBorders>
              <w:top w:val="nil"/>
              <w:left w:val="nil"/>
              <w:bottom w:val="nil"/>
              <w:right w:val="nil"/>
            </w:tcBorders>
            <w:noWrap/>
            <w:vAlign w:val="bottom"/>
            <w:hideMark/>
          </w:tcPr>
          <w:p w14:paraId="76044173"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1C4FDB61"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3E9FE2CB"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174117DE" w14:textId="77777777" w:rsidTr="00A70B77">
        <w:trPr>
          <w:trHeight w:val="288"/>
        </w:trPr>
        <w:tc>
          <w:tcPr>
            <w:tcW w:w="3456" w:type="dxa"/>
            <w:tcBorders>
              <w:top w:val="nil"/>
              <w:left w:val="nil"/>
              <w:bottom w:val="nil"/>
              <w:right w:val="nil"/>
            </w:tcBorders>
            <w:noWrap/>
            <w:vAlign w:val="bottom"/>
            <w:hideMark/>
          </w:tcPr>
          <w:p w14:paraId="37F200E2" w14:textId="77777777" w:rsidR="00A70B77" w:rsidRPr="001B33B0" w:rsidRDefault="00A70B77" w:rsidP="00A70B77">
            <w:pPr>
              <w:spacing w:after="0" w:line="240" w:lineRule="auto"/>
              <w:rPr>
                <w:rFonts w:eastAsia="Times New Roman" w:cs="Arial"/>
                <w:b/>
                <w:bCs/>
                <w:color w:val="8064A2"/>
                <w:sz w:val="20"/>
                <w:szCs w:val="20"/>
              </w:rPr>
            </w:pPr>
            <w:r w:rsidRPr="001B33B0">
              <w:rPr>
                <w:rFonts w:eastAsia="Times New Roman" w:cs="Arial"/>
                <w:b/>
                <w:bCs/>
                <w:color w:val="8064A2"/>
                <w:sz w:val="20"/>
                <w:szCs w:val="20"/>
              </w:rPr>
              <w:t>EBITDA Method</w:t>
            </w:r>
          </w:p>
        </w:tc>
        <w:tc>
          <w:tcPr>
            <w:tcW w:w="1616" w:type="dxa"/>
            <w:tcBorders>
              <w:top w:val="nil"/>
              <w:left w:val="nil"/>
              <w:bottom w:val="nil"/>
              <w:right w:val="nil"/>
            </w:tcBorders>
            <w:noWrap/>
            <w:vAlign w:val="bottom"/>
            <w:hideMark/>
          </w:tcPr>
          <w:p w14:paraId="5A18ACA0" w14:textId="77777777" w:rsidR="00A70B77" w:rsidRPr="001B33B0" w:rsidRDefault="00A70B77" w:rsidP="00A70B77">
            <w:pPr>
              <w:spacing w:after="0" w:line="240" w:lineRule="auto"/>
              <w:rPr>
                <w:rFonts w:eastAsia="Times New Roman" w:cs="Arial"/>
                <w:b/>
                <w:bCs/>
                <w:color w:val="8064A2"/>
                <w:sz w:val="20"/>
                <w:szCs w:val="20"/>
              </w:rPr>
            </w:pPr>
          </w:p>
        </w:tc>
        <w:tc>
          <w:tcPr>
            <w:tcW w:w="1876" w:type="dxa"/>
            <w:tcBorders>
              <w:top w:val="nil"/>
              <w:left w:val="nil"/>
              <w:bottom w:val="nil"/>
              <w:right w:val="nil"/>
            </w:tcBorders>
            <w:noWrap/>
            <w:vAlign w:val="bottom"/>
            <w:hideMark/>
          </w:tcPr>
          <w:p w14:paraId="7FA35DBF"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3950709B"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96" w:type="dxa"/>
            <w:tcBorders>
              <w:top w:val="nil"/>
              <w:left w:val="nil"/>
              <w:bottom w:val="nil"/>
              <w:right w:val="nil"/>
            </w:tcBorders>
            <w:noWrap/>
            <w:vAlign w:val="bottom"/>
            <w:hideMark/>
          </w:tcPr>
          <w:p w14:paraId="5DFCCCD6"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64B287A"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C5C9807"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262177A6" w14:textId="77777777" w:rsidTr="00A70B77">
        <w:trPr>
          <w:trHeight w:val="300"/>
        </w:trPr>
        <w:tc>
          <w:tcPr>
            <w:tcW w:w="3456" w:type="dxa"/>
            <w:tcBorders>
              <w:top w:val="nil"/>
              <w:left w:val="nil"/>
              <w:bottom w:val="nil"/>
              <w:right w:val="nil"/>
            </w:tcBorders>
            <w:noWrap/>
            <w:vAlign w:val="bottom"/>
            <w:hideMark/>
          </w:tcPr>
          <w:p w14:paraId="373D5287"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Exit Year EBITDA (FY2030E)</w:t>
            </w:r>
          </w:p>
        </w:tc>
        <w:tc>
          <w:tcPr>
            <w:tcW w:w="1616" w:type="dxa"/>
            <w:tcBorders>
              <w:top w:val="nil"/>
              <w:left w:val="nil"/>
              <w:bottom w:val="nil"/>
              <w:right w:val="nil"/>
            </w:tcBorders>
            <w:noWrap/>
            <w:vAlign w:val="bottom"/>
            <w:hideMark/>
          </w:tcPr>
          <w:p w14:paraId="4693C555"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single" w:sz="12" w:space="0" w:color="8064A2"/>
              <w:right w:val="nil"/>
            </w:tcBorders>
            <w:noWrap/>
            <w:vAlign w:val="bottom"/>
            <w:hideMark/>
          </w:tcPr>
          <w:p w14:paraId="2E0621E0" w14:textId="77777777" w:rsidR="00A70B77" w:rsidRPr="001B33B0" w:rsidRDefault="00A70B77" w:rsidP="00A70B77">
            <w:pPr>
              <w:spacing w:after="0" w:line="240" w:lineRule="auto"/>
              <w:jc w:val="right"/>
              <w:rPr>
                <w:rFonts w:eastAsia="Times New Roman" w:cs="Arial"/>
                <w:color w:val="008000"/>
                <w:sz w:val="20"/>
                <w:szCs w:val="20"/>
              </w:rPr>
            </w:pPr>
            <w:r w:rsidRPr="001B33B0">
              <w:rPr>
                <w:rFonts w:eastAsia="Times New Roman" w:cs="Arial"/>
                <w:color w:val="008000"/>
                <w:sz w:val="20"/>
                <w:szCs w:val="20"/>
              </w:rPr>
              <w:t>204,242</w:t>
            </w:r>
          </w:p>
        </w:tc>
        <w:tc>
          <w:tcPr>
            <w:tcW w:w="1050" w:type="dxa"/>
            <w:tcBorders>
              <w:top w:val="nil"/>
              <w:left w:val="nil"/>
              <w:bottom w:val="nil"/>
              <w:right w:val="nil"/>
            </w:tcBorders>
            <w:noWrap/>
            <w:vAlign w:val="bottom"/>
            <w:hideMark/>
          </w:tcPr>
          <w:p w14:paraId="3C4E599B" w14:textId="77777777" w:rsidR="00A70B77" w:rsidRPr="001B33B0" w:rsidRDefault="00A70B77" w:rsidP="00A70B77">
            <w:pPr>
              <w:spacing w:after="0" w:line="240" w:lineRule="auto"/>
              <w:jc w:val="right"/>
              <w:rPr>
                <w:rFonts w:eastAsia="Times New Roman" w:cs="Arial"/>
                <w:color w:val="008000"/>
                <w:sz w:val="20"/>
                <w:szCs w:val="20"/>
              </w:rPr>
            </w:pPr>
          </w:p>
        </w:tc>
        <w:tc>
          <w:tcPr>
            <w:tcW w:w="1096" w:type="dxa"/>
            <w:tcBorders>
              <w:top w:val="nil"/>
              <w:left w:val="nil"/>
              <w:bottom w:val="nil"/>
              <w:right w:val="nil"/>
            </w:tcBorders>
            <w:noWrap/>
            <w:vAlign w:val="bottom"/>
            <w:hideMark/>
          </w:tcPr>
          <w:p w14:paraId="24D050DF"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66BB5260"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3B542523"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1242EA3C" w14:textId="77777777" w:rsidTr="00A70B77">
        <w:trPr>
          <w:trHeight w:val="312"/>
        </w:trPr>
        <w:tc>
          <w:tcPr>
            <w:tcW w:w="3456" w:type="dxa"/>
            <w:tcBorders>
              <w:top w:val="nil"/>
              <w:left w:val="nil"/>
              <w:bottom w:val="nil"/>
              <w:right w:val="nil"/>
            </w:tcBorders>
            <w:noWrap/>
            <w:vAlign w:val="bottom"/>
            <w:hideMark/>
          </w:tcPr>
          <w:p w14:paraId="6CF7DD2A"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Multiple (current EV / TTM EBITDA)</w:t>
            </w:r>
          </w:p>
        </w:tc>
        <w:tc>
          <w:tcPr>
            <w:tcW w:w="1616" w:type="dxa"/>
            <w:tcBorders>
              <w:top w:val="nil"/>
              <w:left w:val="nil"/>
              <w:bottom w:val="nil"/>
              <w:right w:val="single" w:sz="12" w:space="0" w:color="8064A2"/>
            </w:tcBorders>
            <w:noWrap/>
            <w:vAlign w:val="bottom"/>
            <w:hideMark/>
          </w:tcPr>
          <w:p w14:paraId="7BEC877F" w14:textId="77777777" w:rsidR="00A70B77" w:rsidRPr="001B33B0" w:rsidRDefault="00A70B77" w:rsidP="00A70B77">
            <w:pPr>
              <w:spacing w:after="0" w:line="240" w:lineRule="auto"/>
              <w:rPr>
                <w:rFonts w:ascii="Calibri" w:eastAsia="Times New Roman" w:hAnsi="Calibri" w:cs="Calibri"/>
                <w:color w:val="000000"/>
                <w:sz w:val="22"/>
              </w:rPr>
            </w:pPr>
            <w:r w:rsidRPr="001B33B0">
              <w:rPr>
                <w:rFonts w:ascii="Calibri" w:eastAsia="Times New Roman" w:hAnsi="Calibri" w:cs="Calibri"/>
                <w:color w:val="000000"/>
                <w:sz w:val="22"/>
              </w:rPr>
              <w:t> </w:t>
            </w:r>
          </w:p>
        </w:tc>
        <w:tc>
          <w:tcPr>
            <w:tcW w:w="1876" w:type="dxa"/>
            <w:tcBorders>
              <w:top w:val="nil"/>
              <w:left w:val="nil"/>
              <w:bottom w:val="single" w:sz="12" w:space="0" w:color="8064A2"/>
              <w:right w:val="single" w:sz="12" w:space="0" w:color="8064A2"/>
            </w:tcBorders>
            <w:noWrap/>
            <w:vAlign w:val="bottom"/>
            <w:hideMark/>
          </w:tcPr>
          <w:p w14:paraId="3C16FB10"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29.4</w:t>
            </w:r>
          </w:p>
        </w:tc>
        <w:tc>
          <w:tcPr>
            <w:tcW w:w="1050" w:type="dxa"/>
            <w:tcBorders>
              <w:top w:val="nil"/>
              <w:left w:val="nil"/>
              <w:bottom w:val="nil"/>
              <w:right w:val="nil"/>
            </w:tcBorders>
            <w:noWrap/>
            <w:vAlign w:val="bottom"/>
            <w:hideMark/>
          </w:tcPr>
          <w:p w14:paraId="58AA6C41"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1D07D27B"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50227C7E"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560ED65F"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507E5DFE" w14:textId="77777777" w:rsidTr="00A70B77">
        <w:trPr>
          <w:trHeight w:val="300"/>
        </w:trPr>
        <w:tc>
          <w:tcPr>
            <w:tcW w:w="3456" w:type="dxa"/>
            <w:tcBorders>
              <w:top w:val="nil"/>
              <w:left w:val="nil"/>
              <w:bottom w:val="nil"/>
              <w:right w:val="nil"/>
            </w:tcBorders>
            <w:noWrap/>
            <w:vAlign w:val="bottom"/>
            <w:hideMark/>
          </w:tcPr>
          <w:p w14:paraId="2C20AC9B"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Terminal Value</w:t>
            </w:r>
          </w:p>
        </w:tc>
        <w:tc>
          <w:tcPr>
            <w:tcW w:w="1616" w:type="dxa"/>
            <w:tcBorders>
              <w:top w:val="nil"/>
              <w:left w:val="nil"/>
              <w:bottom w:val="nil"/>
              <w:right w:val="nil"/>
            </w:tcBorders>
            <w:noWrap/>
            <w:vAlign w:val="bottom"/>
            <w:hideMark/>
          </w:tcPr>
          <w:p w14:paraId="7C8A819C"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nil"/>
              <w:right w:val="nil"/>
            </w:tcBorders>
            <w:noWrap/>
            <w:vAlign w:val="bottom"/>
            <w:hideMark/>
          </w:tcPr>
          <w:p w14:paraId="689B2C90"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6,000,244</w:t>
            </w:r>
          </w:p>
        </w:tc>
        <w:tc>
          <w:tcPr>
            <w:tcW w:w="1050" w:type="dxa"/>
            <w:tcBorders>
              <w:top w:val="nil"/>
              <w:left w:val="nil"/>
              <w:bottom w:val="nil"/>
              <w:right w:val="nil"/>
            </w:tcBorders>
            <w:noWrap/>
            <w:vAlign w:val="bottom"/>
            <w:hideMark/>
          </w:tcPr>
          <w:p w14:paraId="240989EC"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1CFCF502"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2F501223"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2DD49C56"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33CCB88E" w14:textId="77777777" w:rsidTr="00A70B77">
        <w:trPr>
          <w:trHeight w:val="288"/>
        </w:trPr>
        <w:tc>
          <w:tcPr>
            <w:tcW w:w="3456" w:type="dxa"/>
            <w:tcBorders>
              <w:top w:val="nil"/>
              <w:left w:val="nil"/>
              <w:bottom w:val="nil"/>
              <w:right w:val="nil"/>
            </w:tcBorders>
            <w:noWrap/>
            <w:vAlign w:val="bottom"/>
            <w:hideMark/>
          </w:tcPr>
          <w:p w14:paraId="1AE8AF72"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Net Present Value</w:t>
            </w:r>
          </w:p>
        </w:tc>
        <w:tc>
          <w:tcPr>
            <w:tcW w:w="1616" w:type="dxa"/>
            <w:tcBorders>
              <w:top w:val="nil"/>
              <w:left w:val="nil"/>
              <w:bottom w:val="nil"/>
              <w:right w:val="nil"/>
            </w:tcBorders>
            <w:noWrap/>
            <w:vAlign w:val="bottom"/>
            <w:hideMark/>
          </w:tcPr>
          <w:p w14:paraId="6B9F578B"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nil"/>
              <w:right w:val="nil"/>
            </w:tcBorders>
            <w:noWrap/>
            <w:vAlign w:val="bottom"/>
            <w:hideMark/>
          </w:tcPr>
          <w:p w14:paraId="5AEE5300"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3,712,145</w:t>
            </w:r>
          </w:p>
        </w:tc>
        <w:tc>
          <w:tcPr>
            <w:tcW w:w="1050" w:type="dxa"/>
            <w:tcBorders>
              <w:top w:val="nil"/>
              <w:left w:val="nil"/>
              <w:bottom w:val="nil"/>
              <w:right w:val="nil"/>
            </w:tcBorders>
            <w:noWrap/>
            <w:vAlign w:val="bottom"/>
            <w:hideMark/>
          </w:tcPr>
          <w:p w14:paraId="03F3093C"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1DB5FB4C"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6976446F"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792C4E82"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14A95C8B" w14:textId="77777777" w:rsidTr="00A70B77">
        <w:trPr>
          <w:trHeight w:val="288"/>
        </w:trPr>
        <w:tc>
          <w:tcPr>
            <w:tcW w:w="3456" w:type="dxa"/>
            <w:tcBorders>
              <w:top w:val="nil"/>
              <w:left w:val="nil"/>
              <w:bottom w:val="nil"/>
              <w:right w:val="nil"/>
            </w:tcBorders>
            <w:noWrap/>
            <w:vAlign w:val="bottom"/>
            <w:hideMark/>
          </w:tcPr>
          <w:p w14:paraId="4FD0E5A5" w14:textId="77777777" w:rsidR="00A70B77" w:rsidRPr="001B33B0" w:rsidRDefault="00A70B77" w:rsidP="00A70B77">
            <w:pPr>
              <w:spacing w:after="0" w:line="240" w:lineRule="auto"/>
              <w:rPr>
                <w:rFonts w:eastAsia="Times New Roman" w:cs="Arial"/>
                <w:b/>
                <w:bCs/>
                <w:color w:val="8064A2"/>
                <w:sz w:val="20"/>
                <w:szCs w:val="20"/>
              </w:rPr>
            </w:pPr>
            <w:r w:rsidRPr="001B33B0">
              <w:rPr>
                <w:rFonts w:eastAsia="Times New Roman" w:cs="Arial"/>
                <w:b/>
                <w:bCs/>
                <w:color w:val="8064A2"/>
                <w:sz w:val="20"/>
                <w:szCs w:val="20"/>
              </w:rPr>
              <w:t>Perpetuity Method</w:t>
            </w:r>
          </w:p>
        </w:tc>
        <w:tc>
          <w:tcPr>
            <w:tcW w:w="1616" w:type="dxa"/>
            <w:tcBorders>
              <w:top w:val="nil"/>
              <w:left w:val="nil"/>
              <w:bottom w:val="nil"/>
              <w:right w:val="nil"/>
            </w:tcBorders>
            <w:noWrap/>
            <w:vAlign w:val="bottom"/>
            <w:hideMark/>
          </w:tcPr>
          <w:p w14:paraId="1C06BE6A" w14:textId="77777777" w:rsidR="00A70B77" w:rsidRPr="001B33B0" w:rsidRDefault="00A70B77" w:rsidP="00A70B77">
            <w:pPr>
              <w:spacing w:after="0" w:line="240" w:lineRule="auto"/>
              <w:rPr>
                <w:rFonts w:eastAsia="Times New Roman" w:cs="Arial"/>
                <w:b/>
                <w:bCs/>
                <w:color w:val="8064A2"/>
                <w:sz w:val="20"/>
                <w:szCs w:val="20"/>
              </w:rPr>
            </w:pPr>
          </w:p>
        </w:tc>
        <w:tc>
          <w:tcPr>
            <w:tcW w:w="1876" w:type="dxa"/>
            <w:tcBorders>
              <w:top w:val="nil"/>
              <w:left w:val="nil"/>
              <w:bottom w:val="nil"/>
              <w:right w:val="nil"/>
            </w:tcBorders>
            <w:noWrap/>
            <w:vAlign w:val="bottom"/>
            <w:hideMark/>
          </w:tcPr>
          <w:p w14:paraId="49C3A952"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72438D32"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96" w:type="dxa"/>
            <w:tcBorders>
              <w:top w:val="nil"/>
              <w:left w:val="nil"/>
              <w:bottom w:val="nil"/>
              <w:right w:val="nil"/>
            </w:tcBorders>
            <w:noWrap/>
            <w:vAlign w:val="bottom"/>
            <w:hideMark/>
          </w:tcPr>
          <w:p w14:paraId="248CB246"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49FEBB0"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621AAFC"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5DAC2D84" w14:textId="77777777" w:rsidTr="00A70B77">
        <w:trPr>
          <w:trHeight w:val="300"/>
        </w:trPr>
        <w:tc>
          <w:tcPr>
            <w:tcW w:w="3456" w:type="dxa"/>
            <w:tcBorders>
              <w:top w:val="nil"/>
              <w:left w:val="nil"/>
              <w:bottom w:val="nil"/>
              <w:right w:val="nil"/>
            </w:tcBorders>
            <w:noWrap/>
            <w:vAlign w:val="bottom"/>
            <w:hideMark/>
          </w:tcPr>
          <w:p w14:paraId="404FEF8D"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Unlevered Free Cash Flow (FY2030E)</w:t>
            </w:r>
          </w:p>
        </w:tc>
        <w:tc>
          <w:tcPr>
            <w:tcW w:w="1616" w:type="dxa"/>
            <w:tcBorders>
              <w:top w:val="nil"/>
              <w:left w:val="nil"/>
              <w:bottom w:val="nil"/>
              <w:right w:val="nil"/>
            </w:tcBorders>
            <w:noWrap/>
            <w:vAlign w:val="bottom"/>
            <w:hideMark/>
          </w:tcPr>
          <w:p w14:paraId="55A5D0C2"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single" w:sz="12" w:space="0" w:color="8064A2"/>
              <w:right w:val="nil"/>
            </w:tcBorders>
            <w:noWrap/>
            <w:vAlign w:val="bottom"/>
            <w:hideMark/>
          </w:tcPr>
          <w:p w14:paraId="554688D4"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158,417</w:t>
            </w:r>
          </w:p>
        </w:tc>
        <w:tc>
          <w:tcPr>
            <w:tcW w:w="1050" w:type="dxa"/>
            <w:tcBorders>
              <w:top w:val="nil"/>
              <w:left w:val="nil"/>
              <w:bottom w:val="nil"/>
              <w:right w:val="nil"/>
            </w:tcBorders>
            <w:noWrap/>
            <w:vAlign w:val="bottom"/>
            <w:hideMark/>
          </w:tcPr>
          <w:p w14:paraId="0DFC0B81"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19520937"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7B38430A"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3870E273"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289334A8" w14:textId="77777777" w:rsidTr="00A70B77">
        <w:trPr>
          <w:trHeight w:val="312"/>
        </w:trPr>
        <w:tc>
          <w:tcPr>
            <w:tcW w:w="3456" w:type="dxa"/>
            <w:tcBorders>
              <w:top w:val="nil"/>
              <w:left w:val="nil"/>
              <w:bottom w:val="nil"/>
              <w:right w:val="nil"/>
            </w:tcBorders>
            <w:noWrap/>
            <w:vAlign w:val="bottom"/>
            <w:hideMark/>
          </w:tcPr>
          <w:p w14:paraId="315B15B1"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Growth Rate</w:t>
            </w:r>
          </w:p>
        </w:tc>
        <w:tc>
          <w:tcPr>
            <w:tcW w:w="1616" w:type="dxa"/>
            <w:tcBorders>
              <w:top w:val="nil"/>
              <w:left w:val="nil"/>
              <w:bottom w:val="nil"/>
              <w:right w:val="single" w:sz="12" w:space="0" w:color="8064A2"/>
            </w:tcBorders>
            <w:noWrap/>
            <w:vAlign w:val="bottom"/>
            <w:hideMark/>
          </w:tcPr>
          <w:p w14:paraId="0E5C00FE" w14:textId="77777777" w:rsidR="00A70B77" w:rsidRPr="001B33B0" w:rsidRDefault="00A70B77" w:rsidP="00A70B77">
            <w:pPr>
              <w:spacing w:after="0" w:line="240" w:lineRule="auto"/>
              <w:rPr>
                <w:rFonts w:ascii="Calibri" w:eastAsia="Times New Roman" w:hAnsi="Calibri" w:cs="Calibri"/>
                <w:color w:val="000000"/>
                <w:sz w:val="22"/>
              </w:rPr>
            </w:pPr>
            <w:r w:rsidRPr="001B33B0">
              <w:rPr>
                <w:rFonts w:ascii="Calibri" w:eastAsia="Times New Roman" w:hAnsi="Calibri" w:cs="Calibri"/>
                <w:color w:val="000000"/>
                <w:sz w:val="22"/>
              </w:rPr>
              <w:t> </w:t>
            </w:r>
          </w:p>
        </w:tc>
        <w:tc>
          <w:tcPr>
            <w:tcW w:w="1876" w:type="dxa"/>
            <w:tcBorders>
              <w:top w:val="nil"/>
              <w:left w:val="nil"/>
              <w:bottom w:val="single" w:sz="12" w:space="0" w:color="8064A2"/>
              <w:right w:val="single" w:sz="12" w:space="0" w:color="8064A2"/>
            </w:tcBorders>
            <w:noWrap/>
            <w:vAlign w:val="bottom"/>
            <w:hideMark/>
          </w:tcPr>
          <w:p w14:paraId="7A9ED401"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3.0%</w:t>
            </w:r>
          </w:p>
        </w:tc>
        <w:tc>
          <w:tcPr>
            <w:tcW w:w="1050" w:type="dxa"/>
            <w:tcBorders>
              <w:top w:val="nil"/>
              <w:left w:val="nil"/>
              <w:bottom w:val="nil"/>
              <w:right w:val="nil"/>
            </w:tcBorders>
            <w:noWrap/>
            <w:vAlign w:val="bottom"/>
            <w:hideMark/>
          </w:tcPr>
          <w:p w14:paraId="3A38325C"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18F0C0FA"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6727EA38"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0151576A"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3383F9F8" w14:textId="77777777" w:rsidTr="00A70B77">
        <w:trPr>
          <w:trHeight w:val="300"/>
        </w:trPr>
        <w:tc>
          <w:tcPr>
            <w:tcW w:w="3456" w:type="dxa"/>
            <w:tcBorders>
              <w:top w:val="nil"/>
              <w:left w:val="nil"/>
              <w:bottom w:val="nil"/>
              <w:right w:val="nil"/>
            </w:tcBorders>
            <w:noWrap/>
            <w:vAlign w:val="bottom"/>
            <w:hideMark/>
          </w:tcPr>
          <w:p w14:paraId="3257DEE2"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Terminal Value</w:t>
            </w:r>
          </w:p>
        </w:tc>
        <w:tc>
          <w:tcPr>
            <w:tcW w:w="1616" w:type="dxa"/>
            <w:tcBorders>
              <w:top w:val="nil"/>
              <w:left w:val="nil"/>
              <w:bottom w:val="nil"/>
              <w:right w:val="nil"/>
            </w:tcBorders>
            <w:noWrap/>
            <w:vAlign w:val="bottom"/>
            <w:hideMark/>
          </w:tcPr>
          <w:p w14:paraId="700E5EE0"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nil"/>
              <w:right w:val="nil"/>
            </w:tcBorders>
            <w:noWrap/>
            <w:vAlign w:val="bottom"/>
            <w:hideMark/>
          </w:tcPr>
          <w:p w14:paraId="725AA69A"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2,304,617</w:t>
            </w:r>
          </w:p>
        </w:tc>
        <w:tc>
          <w:tcPr>
            <w:tcW w:w="1050" w:type="dxa"/>
            <w:tcBorders>
              <w:top w:val="nil"/>
              <w:left w:val="nil"/>
              <w:bottom w:val="nil"/>
              <w:right w:val="nil"/>
            </w:tcBorders>
            <w:noWrap/>
            <w:vAlign w:val="bottom"/>
            <w:hideMark/>
          </w:tcPr>
          <w:p w14:paraId="1AB667D8"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62BA93B9"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2AC1FA46"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6EAB0FA4"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074648C8" w14:textId="77777777" w:rsidTr="00A70B77">
        <w:trPr>
          <w:trHeight w:val="288"/>
        </w:trPr>
        <w:tc>
          <w:tcPr>
            <w:tcW w:w="3456" w:type="dxa"/>
            <w:tcBorders>
              <w:top w:val="nil"/>
              <w:left w:val="nil"/>
              <w:bottom w:val="nil"/>
              <w:right w:val="nil"/>
            </w:tcBorders>
            <w:noWrap/>
            <w:vAlign w:val="bottom"/>
            <w:hideMark/>
          </w:tcPr>
          <w:p w14:paraId="69196E71"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Net Present Value</w:t>
            </w:r>
          </w:p>
        </w:tc>
        <w:tc>
          <w:tcPr>
            <w:tcW w:w="1616" w:type="dxa"/>
            <w:tcBorders>
              <w:top w:val="nil"/>
              <w:left w:val="nil"/>
              <w:bottom w:val="nil"/>
              <w:right w:val="nil"/>
            </w:tcBorders>
            <w:noWrap/>
            <w:vAlign w:val="bottom"/>
            <w:hideMark/>
          </w:tcPr>
          <w:p w14:paraId="0FAECC9B" w14:textId="77777777" w:rsidR="00A70B77" w:rsidRPr="001B33B0" w:rsidRDefault="00A70B77" w:rsidP="00A70B77">
            <w:pPr>
              <w:spacing w:after="0" w:line="240" w:lineRule="auto"/>
              <w:rPr>
                <w:rFonts w:eastAsia="Times New Roman" w:cs="Arial"/>
                <w:color w:val="000000"/>
                <w:sz w:val="20"/>
                <w:szCs w:val="20"/>
              </w:rPr>
            </w:pPr>
          </w:p>
        </w:tc>
        <w:tc>
          <w:tcPr>
            <w:tcW w:w="1876" w:type="dxa"/>
            <w:tcBorders>
              <w:top w:val="nil"/>
              <w:left w:val="nil"/>
              <w:bottom w:val="nil"/>
              <w:right w:val="nil"/>
            </w:tcBorders>
            <w:noWrap/>
            <w:vAlign w:val="bottom"/>
            <w:hideMark/>
          </w:tcPr>
          <w:p w14:paraId="3FEC0AD5"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1,425,788</w:t>
            </w:r>
          </w:p>
        </w:tc>
        <w:tc>
          <w:tcPr>
            <w:tcW w:w="1050" w:type="dxa"/>
            <w:tcBorders>
              <w:top w:val="nil"/>
              <w:left w:val="nil"/>
              <w:bottom w:val="nil"/>
              <w:right w:val="nil"/>
            </w:tcBorders>
            <w:noWrap/>
            <w:vAlign w:val="bottom"/>
            <w:hideMark/>
          </w:tcPr>
          <w:p w14:paraId="5D6873E1"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0B326B2A"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2845D75E"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1A63F1F7"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3A582380" w14:textId="77777777" w:rsidTr="00A70B77">
        <w:trPr>
          <w:trHeight w:val="288"/>
        </w:trPr>
        <w:tc>
          <w:tcPr>
            <w:tcW w:w="3456" w:type="dxa"/>
            <w:tcBorders>
              <w:top w:val="nil"/>
              <w:left w:val="nil"/>
              <w:bottom w:val="nil"/>
              <w:right w:val="nil"/>
            </w:tcBorders>
            <w:noWrap/>
            <w:vAlign w:val="bottom"/>
            <w:hideMark/>
          </w:tcPr>
          <w:p w14:paraId="2E62CF0A"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616" w:type="dxa"/>
            <w:tcBorders>
              <w:top w:val="nil"/>
              <w:left w:val="nil"/>
              <w:bottom w:val="nil"/>
              <w:right w:val="nil"/>
            </w:tcBorders>
            <w:noWrap/>
            <w:vAlign w:val="bottom"/>
            <w:hideMark/>
          </w:tcPr>
          <w:p w14:paraId="1FAD76D2"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876" w:type="dxa"/>
            <w:tcBorders>
              <w:top w:val="nil"/>
              <w:left w:val="nil"/>
              <w:bottom w:val="nil"/>
              <w:right w:val="nil"/>
            </w:tcBorders>
            <w:noWrap/>
            <w:vAlign w:val="bottom"/>
            <w:hideMark/>
          </w:tcPr>
          <w:p w14:paraId="5CB41501"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0396A27B"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96" w:type="dxa"/>
            <w:tcBorders>
              <w:top w:val="nil"/>
              <w:left w:val="nil"/>
              <w:bottom w:val="nil"/>
              <w:right w:val="nil"/>
            </w:tcBorders>
            <w:noWrap/>
            <w:vAlign w:val="bottom"/>
            <w:hideMark/>
          </w:tcPr>
          <w:p w14:paraId="44E3F75D"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78958AD7"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1BFC5511"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2BE031A4" w14:textId="77777777" w:rsidTr="00A70B77">
        <w:trPr>
          <w:trHeight w:val="540"/>
        </w:trPr>
        <w:tc>
          <w:tcPr>
            <w:tcW w:w="3456" w:type="dxa"/>
            <w:tcBorders>
              <w:top w:val="nil"/>
              <w:left w:val="nil"/>
              <w:bottom w:val="nil"/>
              <w:right w:val="nil"/>
            </w:tcBorders>
            <w:shd w:val="clear" w:color="F2F2F2" w:fill="8064A2"/>
            <w:vAlign w:val="bottom"/>
            <w:hideMark/>
          </w:tcPr>
          <w:p w14:paraId="6256B36C" w14:textId="77777777" w:rsidR="00A70B77" w:rsidRPr="001B33B0" w:rsidRDefault="00A70B77" w:rsidP="00A70B77">
            <w:pPr>
              <w:spacing w:after="0" w:line="240" w:lineRule="auto"/>
              <w:rPr>
                <w:rFonts w:eastAsia="Times New Roman" w:cs="Arial"/>
                <w:b/>
                <w:bCs/>
                <w:color w:val="FFFFFF"/>
                <w:sz w:val="20"/>
                <w:szCs w:val="20"/>
              </w:rPr>
            </w:pPr>
            <w:r w:rsidRPr="001B33B0">
              <w:rPr>
                <w:rFonts w:eastAsia="Times New Roman" w:cs="Arial"/>
                <w:b/>
                <w:bCs/>
                <w:color w:val="FFFFFF"/>
                <w:sz w:val="20"/>
                <w:szCs w:val="20"/>
              </w:rPr>
              <w:t>Discounted Cash Flow Total Valuation</w:t>
            </w:r>
          </w:p>
        </w:tc>
        <w:tc>
          <w:tcPr>
            <w:tcW w:w="1616" w:type="dxa"/>
            <w:tcBorders>
              <w:top w:val="nil"/>
              <w:left w:val="nil"/>
              <w:bottom w:val="nil"/>
              <w:right w:val="nil"/>
            </w:tcBorders>
            <w:shd w:val="clear" w:color="F2F2F2" w:fill="8064A2"/>
            <w:noWrap/>
            <w:vAlign w:val="bottom"/>
            <w:hideMark/>
          </w:tcPr>
          <w:p w14:paraId="332E32D7" w14:textId="77777777" w:rsidR="00A70B77" w:rsidRPr="001B33B0" w:rsidRDefault="00A70B77" w:rsidP="00A70B77">
            <w:pPr>
              <w:spacing w:after="0" w:line="240" w:lineRule="auto"/>
              <w:jc w:val="right"/>
              <w:rPr>
                <w:rFonts w:eastAsia="Times New Roman" w:cs="Arial"/>
                <w:b/>
                <w:bCs/>
                <w:color w:val="FFFFFF"/>
                <w:sz w:val="20"/>
                <w:szCs w:val="20"/>
              </w:rPr>
            </w:pPr>
            <w:r w:rsidRPr="001B33B0">
              <w:rPr>
                <w:rFonts w:eastAsia="Times New Roman" w:cs="Arial"/>
                <w:b/>
                <w:bCs/>
                <w:color w:val="FFFFFF"/>
                <w:sz w:val="20"/>
                <w:szCs w:val="20"/>
              </w:rPr>
              <w:t>EBITDA Method</w:t>
            </w:r>
          </w:p>
        </w:tc>
        <w:tc>
          <w:tcPr>
            <w:tcW w:w="1876" w:type="dxa"/>
            <w:tcBorders>
              <w:top w:val="nil"/>
              <w:left w:val="nil"/>
              <w:bottom w:val="nil"/>
              <w:right w:val="nil"/>
            </w:tcBorders>
            <w:shd w:val="clear" w:color="F2F2F2" w:fill="8064A2"/>
            <w:noWrap/>
            <w:vAlign w:val="bottom"/>
            <w:hideMark/>
          </w:tcPr>
          <w:p w14:paraId="0E613E92" w14:textId="77777777" w:rsidR="00A70B77" w:rsidRPr="001B33B0" w:rsidRDefault="00A70B77" w:rsidP="00A70B77">
            <w:pPr>
              <w:spacing w:after="0" w:line="240" w:lineRule="auto"/>
              <w:jc w:val="right"/>
              <w:rPr>
                <w:rFonts w:eastAsia="Times New Roman" w:cs="Arial"/>
                <w:b/>
                <w:bCs/>
                <w:color w:val="FFFFFF"/>
                <w:sz w:val="20"/>
                <w:szCs w:val="20"/>
              </w:rPr>
            </w:pPr>
            <w:r w:rsidRPr="001B33B0">
              <w:rPr>
                <w:rFonts w:eastAsia="Times New Roman" w:cs="Arial"/>
                <w:b/>
                <w:bCs/>
                <w:color w:val="FFFFFF"/>
                <w:sz w:val="20"/>
                <w:szCs w:val="20"/>
              </w:rPr>
              <w:t>Perpetuity Method</w:t>
            </w:r>
          </w:p>
        </w:tc>
        <w:tc>
          <w:tcPr>
            <w:tcW w:w="1050" w:type="dxa"/>
            <w:tcBorders>
              <w:top w:val="nil"/>
              <w:left w:val="nil"/>
              <w:bottom w:val="nil"/>
              <w:right w:val="nil"/>
            </w:tcBorders>
            <w:noWrap/>
            <w:vAlign w:val="bottom"/>
            <w:hideMark/>
          </w:tcPr>
          <w:p w14:paraId="43AA200F" w14:textId="77777777" w:rsidR="00A70B77" w:rsidRPr="001B33B0" w:rsidRDefault="00A70B77" w:rsidP="00A70B77">
            <w:pPr>
              <w:spacing w:after="0" w:line="240" w:lineRule="auto"/>
              <w:jc w:val="right"/>
              <w:rPr>
                <w:rFonts w:eastAsia="Times New Roman" w:cs="Arial"/>
                <w:b/>
                <w:bCs/>
                <w:color w:val="FFFFFF"/>
                <w:sz w:val="20"/>
                <w:szCs w:val="20"/>
              </w:rPr>
            </w:pPr>
          </w:p>
        </w:tc>
        <w:tc>
          <w:tcPr>
            <w:tcW w:w="1096" w:type="dxa"/>
            <w:tcBorders>
              <w:top w:val="nil"/>
              <w:left w:val="nil"/>
              <w:bottom w:val="nil"/>
              <w:right w:val="nil"/>
            </w:tcBorders>
            <w:noWrap/>
            <w:vAlign w:val="bottom"/>
            <w:hideMark/>
          </w:tcPr>
          <w:p w14:paraId="709CC20D"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8CD6E6C"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0C120F43"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02E0AFA5" w14:textId="77777777" w:rsidTr="00A70B77">
        <w:trPr>
          <w:trHeight w:val="288"/>
        </w:trPr>
        <w:tc>
          <w:tcPr>
            <w:tcW w:w="3456" w:type="dxa"/>
            <w:tcBorders>
              <w:top w:val="nil"/>
              <w:left w:val="nil"/>
              <w:bottom w:val="nil"/>
              <w:right w:val="nil"/>
            </w:tcBorders>
            <w:noWrap/>
            <w:vAlign w:val="bottom"/>
            <w:hideMark/>
          </w:tcPr>
          <w:p w14:paraId="52DD322D"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Total of Present Value of Cash Flows</w:t>
            </w:r>
          </w:p>
        </w:tc>
        <w:tc>
          <w:tcPr>
            <w:tcW w:w="1616" w:type="dxa"/>
            <w:tcBorders>
              <w:top w:val="nil"/>
              <w:left w:val="nil"/>
              <w:bottom w:val="nil"/>
              <w:right w:val="nil"/>
            </w:tcBorders>
            <w:noWrap/>
            <w:vAlign w:val="bottom"/>
            <w:hideMark/>
          </w:tcPr>
          <w:p w14:paraId="0ADABAC6"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532,739</w:t>
            </w:r>
          </w:p>
        </w:tc>
        <w:tc>
          <w:tcPr>
            <w:tcW w:w="1876" w:type="dxa"/>
            <w:tcBorders>
              <w:top w:val="nil"/>
              <w:left w:val="nil"/>
              <w:bottom w:val="nil"/>
              <w:right w:val="nil"/>
            </w:tcBorders>
            <w:noWrap/>
            <w:vAlign w:val="bottom"/>
            <w:hideMark/>
          </w:tcPr>
          <w:p w14:paraId="043BE9EB"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532,739</w:t>
            </w:r>
          </w:p>
        </w:tc>
        <w:tc>
          <w:tcPr>
            <w:tcW w:w="1050" w:type="dxa"/>
            <w:tcBorders>
              <w:top w:val="nil"/>
              <w:left w:val="nil"/>
              <w:bottom w:val="nil"/>
              <w:right w:val="nil"/>
            </w:tcBorders>
            <w:noWrap/>
            <w:vAlign w:val="bottom"/>
            <w:hideMark/>
          </w:tcPr>
          <w:p w14:paraId="09898164"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7B358276"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EDADE5B"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3D911BB4"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3FADA37D" w14:textId="77777777" w:rsidTr="00A70B77">
        <w:trPr>
          <w:trHeight w:val="288"/>
        </w:trPr>
        <w:tc>
          <w:tcPr>
            <w:tcW w:w="3456" w:type="dxa"/>
            <w:tcBorders>
              <w:top w:val="nil"/>
              <w:left w:val="nil"/>
              <w:bottom w:val="nil"/>
              <w:right w:val="nil"/>
            </w:tcBorders>
            <w:noWrap/>
            <w:vAlign w:val="bottom"/>
            <w:hideMark/>
          </w:tcPr>
          <w:p w14:paraId="00BF0BF6"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Present Value of Terminal Value</w:t>
            </w:r>
          </w:p>
        </w:tc>
        <w:tc>
          <w:tcPr>
            <w:tcW w:w="1616" w:type="dxa"/>
            <w:tcBorders>
              <w:top w:val="nil"/>
              <w:left w:val="nil"/>
              <w:bottom w:val="nil"/>
              <w:right w:val="nil"/>
            </w:tcBorders>
            <w:noWrap/>
            <w:vAlign w:val="bottom"/>
            <w:hideMark/>
          </w:tcPr>
          <w:p w14:paraId="3C3A86A1"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3,712,145</w:t>
            </w:r>
          </w:p>
        </w:tc>
        <w:tc>
          <w:tcPr>
            <w:tcW w:w="1876" w:type="dxa"/>
            <w:tcBorders>
              <w:top w:val="nil"/>
              <w:left w:val="nil"/>
              <w:bottom w:val="nil"/>
              <w:right w:val="nil"/>
            </w:tcBorders>
            <w:noWrap/>
            <w:vAlign w:val="bottom"/>
            <w:hideMark/>
          </w:tcPr>
          <w:p w14:paraId="2C4BAA0C"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1,425,788</w:t>
            </w:r>
          </w:p>
        </w:tc>
        <w:tc>
          <w:tcPr>
            <w:tcW w:w="1050" w:type="dxa"/>
            <w:tcBorders>
              <w:top w:val="nil"/>
              <w:left w:val="nil"/>
              <w:bottom w:val="nil"/>
              <w:right w:val="nil"/>
            </w:tcBorders>
            <w:noWrap/>
            <w:vAlign w:val="bottom"/>
            <w:hideMark/>
          </w:tcPr>
          <w:p w14:paraId="6DC753BE"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12E48182"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634917D7"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0624751E"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591346A9" w14:textId="77777777" w:rsidTr="00A70B77">
        <w:trPr>
          <w:trHeight w:val="288"/>
        </w:trPr>
        <w:tc>
          <w:tcPr>
            <w:tcW w:w="3456" w:type="dxa"/>
            <w:tcBorders>
              <w:top w:val="nil"/>
              <w:left w:val="nil"/>
              <w:bottom w:val="nil"/>
              <w:right w:val="nil"/>
            </w:tcBorders>
            <w:noWrap/>
            <w:vAlign w:val="bottom"/>
            <w:hideMark/>
          </w:tcPr>
          <w:p w14:paraId="0365D6F8" w14:textId="77777777" w:rsidR="00A70B77" w:rsidRPr="001B33B0" w:rsidRDefault="00A70B77" w:rsidP="00A70B77">
            <w:pPr>
              <w:spacing w:after="0" w:line="240" w:lineRule="auto"/>
              <w:rPr>
                <w:rFonts w:eastAsia="Times New Roman" w:cs="Arial"/>
                <w:b/>
                <w:bCs/>
                <w:color w:val="8064A2"/>
                <w:sz w:val="20"/>
                <w:szCs w:val="20"/>
              </w:rPr>
            </w:pPr>
            <w:r w:rsidRPr="001B33B0">
              <w:rPr>
                <w:rFonts w:eastAsia="Times New Roman" w:cs="Arial"/>
                <w:b/>
                <w:bCs/>
                <w:color w:val="8064A2"/>
                <w:sz w:val="20"/>
                <w:szCs w:val="20"/>
              </w:rPr>
              <w:t>Total Enterprise Value</w:t>
            </w:r>
          </w:p>
        </w:tc>
        <w:tc>
          <w:tcPr>
            <w:tcW w:w="1616" w:type="dxa"/>
            <w:tcBorders>
              <w:top w:val="nil"/>
              <w:left w:val="nil"/>
              <w:bottom w:val="nil"/>
              <w:right w:val="nil"/>
            </w:tcBorders>
            <w:noWrap/>
            <w:vAlign w:val="bottom"/>
            <w:hideMark/>
          </w:tcPr>
          <w:p w14:paraId="74F4926D" w14:textId="77777777" w:rsidR="00A70B77" w:rsidRPr="001B33B0" w:rsidRDefault="00A70B77" w:rsidP="00A70B77">
            <w:pPr>
              <w:spacing w:after="0" w:line="240" w:lineRule="auto"/>
              <w:jc w:val="right"/>
              <w:rPr>
                <w:rFonts w:eastAsia="Times New Roman" w:cs="Arial"/>
                <w:b/>
                <w:bCs/>
                <w:color w:val="000000"/>
                <w:sz w:val="20"/>
                <w:szCs w:val="20"/>
              </w:rPr>
            </w:pPr>
            <w:r w:rsidRPr="001B33B0">
              <w:rPr>
                <w:rFonts w:eastAsia="Times New Roman" w:cs="Arial"/>
                <w:b/>
                <w:bCs/>
                <w:color w:val="000000"/>
                <w:sz w:val="20"/>
                <w:szCs w:val="20"/>
              </w:rPr>
              <w:t>4,244,884</w:t>
            </w:r>
          </w:p>
        </w:tc>
        <w:tc>
          <w:tcPr>
            <w:tcW w:w="1876" w:type="dxa"/>
            <w:tcBorders>
              <w:top w:val="nil"/>
              <w:left w:val="nil"/>
              <w:bottom w:val="nil"/>
              <w:right w:val="nil"/>
            </w:tcBorders>
            <w:noWrap/>
            <w:vAlign w:val="bottom"/>
            <w:hideMark/>
          </w:tcPr>
          <w:p w14:paraId="65A2517D" w14:textId="77777777" w:rsidR="00A70B77" w:rsidRPr="001B33B0" w:rsidRDefault="00A70B77" w:rsidP="00A70B77">
            <w:pPr>
              <w:spacing w:after="0" w:line="240" w:lineRule="auto"/>
              <w:jc w:val="right"/>
              <w:rPr>
                <w:rFonts w:eastAsia="Times New Roman" w:cs="Arial"/>
                <w:b/>
                <w:bCs/>
                <w:color w:val="000000"/>
                <w:sz w:val="20"/>
                <w:szCs w:val="20"/>
              </w:rPr>
            </w:pPr>
            <w:r w:rsidRPr="001B33B0">
              <w:rPr>
                <w:rFonts w:eastAsia="Times New Roman" w:cs="Arial"/>
                <w:b/>
                <w:bCs/>
                <w:color w:val="000000"/>
                <w:sz w:val="20"/>
                <w:szCs w:val="20"/>
              </w:rPr>
              <w:t>1,958,527</w:t>
            </w:r>
          </w:p>
        </w:tc>
        <w:tc>
          <w:tcPr>
            <w:tcW w:w="1050" w:type="dxa"/>
            <w:tcBorders>
              <w:top w:val="nil"/>
              <w:left w:val="nil"/>
              <w:bottom w:val="nil"/>
              <w:right w:val="nil"/>
            </w:tcBorders>
            <w:noWrap/>
            <w:vAlign w:val="bottom"/>
            <w:hideMark/>
          </w:tcPr>
          <w:p w14:paraId="1F1D05D9" w14:textId="77777777" w:rsidR="00A70B77" w:rsidRPr="001B33B0" w:rsidRDefault="00A70B77" w:rsidP="00A70B77">
            <w:pPr>
              <w:spacing w:after="0" w:line="240" w:lineRule="auto"/>
              <w:jc w:val="right"/>
              <w:rPr>
                <w:rFonts w:eastAsia="Times New Roman" w:cs="Arial"/>
                <w:b/>
                <w:bCs/>
                <w:color w:val="000000"/>
                <w:sz w:val="20"/>
                <w:szCs w:val="20"/>
              </w:rPr>
            </w:pPr>
          </w:p>
        </w:tc>
        <w:tc>
          <w:tcPr>
            <w:tcW w:w="1096" w:type="dxa"/>
            <w:tcBorders>
              <w:top w:val="nil"/>
              <w:left w:val="nil"/>
              <w:bottom w:val="nil"/>
              <w:right w:val="nil"/>
            </w:tcBorders>
            <w:noWrap/>
            <w:vAlign w:val="bottom"/>
            <w:hideMark/>
          </w:tcPr>
          <w:p w14:paraId="37761CB7"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9386BE0"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148F5096"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4CBE1DF1" w14:textId="77777777" w:rsidTr="00A70B77">
        <w:trPr>
          <w:trHeight w:val="288"/>
        </w:trPr>
        <w:tc>
          <w:tcPr>
            <w:tcW w:w="3456" w:type="dxa"/>
            <w:tcBorders>
              <w:top w:val="nil"/>
              <w:left w:val="nil"/>
              <w:bottom w:val="nil"/>
              <w:right w:val="nil"/>
            </w:tcBorders>
            <w:noWrap/>
            <w:vAlign w:val="bottom"/>
            <w:hideMark/>
          </w:tcPr>
          <w:p w14:paraId="538A95C3"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Less: Net Debt / (plus net cash)</w:t>
            </w:r>
          </w:p>
        </w:tc>
        <w:tc>
          <w:tcPr>
            <w:tcW w:w="1616" w:type="dxa"/>
            <w:tcBorders>
              <w:top w:val="nil"/>
              <w:left w:val="nil"/>
              <w:bottom w:val="nil"/>
              <w:right w:val="nil"/>
            </w:tcBorders>
            <w:noWrap/>
            <w:vAlign w:val="bottom"/>
            <w:hideMark/>
          </w:tcPr>
          <w:p w14:paraId="06A047EA"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(33,763)</w:t>
            </w:r>
          </w:p>
        </w:tc>
        <w:tc>
          <w:tcPr>
            <w:tcW w:w="1876" w:type="dxa"/>
            <w:tcBorders>
              <w:top w:val="nil"/>
              <w:left w:val="nil"/>
              <w:bottom w:val="nil"/>
              <w:right w:val="nil"/>
            </w:tcBorders>
            <w:noWrap/>
            <w:vAlign w:val="bottom"/>
            <w:hideMark/>
          </w:tcPr>
          <w:p w14:paraId="4DF388F7"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(33,763)</w:t>
            </w:r>
          </w:p>
        </w:tc>
        <w:tc>
          <w:tcPr>
            <w:tcW w:w="1050" w:type="dxa"/>
            <w:tcBorders>
              <w:top w:val="nil"/>
              <w:left w:val="nil"/>
              <w:bottom w:val="nil"/>
              <w:right w:val="nil"/>
            </w:tcBorders>
            <w:noWrap/>
            <w:vAlign w:val="bottom"/>
            <w:hideMark/>
          </w:tcPr>
          <w:p w14:paraId="12DA44F9"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5A94C4BF"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184CA762"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FBE25D4"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7B4F4725" w14:textId="77777777" w:rsidTr="00A70B77">
        <w:trPr>
          <w:trHeight w:val="288"/>
        </w:trPr>
        <w:tc>
          <w:tcPr>
            <w:tcW w:w="3456" w:type="dxa"/>
            <w:tcBorders>
              <w:top w:val="nil"/>
              <w:left w:val="nil"/>
              <w:bottom w:val="nil"/>
              <w:right w:val="nil"/>
            </w:tcBorders>
            <w:noWrap/>
            <w:vAlign w:val="bottom"/>
            <w:hideMark/>
          </w:tcPr>
          <w:p w14:paraId="348F7DEB" w14:textId="77777777" w:rsidR="00A70B77" w:rsidRPr="001B33B0" w:rsidRDefault="00A70B77" w:rsidP="00A70B77">
            <w:pPr>
              <w:spacing w:after="0" w:line="240" w:lineRule="auto"/>
              <w:rPr>
                <w:rFonts w:eastAsia="Times New Roman" w:cs="Arial"/>
                <w:b/>
                <w:bCs/>
                <w:color w:val="8064A2"/>
                <w:sz w:val="20"/>
                <w:szCs w:val="20"/>
              </w:rPr>
            </w:pPr>
            <w:r w:rsidRPr="001B33B0">
              <w:rPr>
                <w:rFonts w:eastAsia="Times New Roman" w:cs="Arial"/>
                <w:b/>
                <w:bCs/>
                <w:color w:val="8064A2"/>
                <w:sz w:val="20"/>
                <w:szCs w:val="20"/>
              </w:rPr>
              <w:t>Equity Value</w:t>
            </w:r>
          </w:p>
        </w:tc>
        <w:tc>
          <w:tcPr>
            <w:tcW w:w="1616" w:type="dxa"/>
            <w:tcBorders>
              <w:top w:val="nil"/>
              <w:left w:val="nil"/>
              <w:bottom w:val="nil"/>
              <w:right w:val="nil"/>
            </w:tcBorders>
            <w:noWrap/>
            <w:vAlign w:val="bottom"/>
            <w:hideMark/>
          </w:tcPr>
          <w:p w14:paraId="7FDE7244" w14:textId="77777777" w:rsidR="00A70B77" w:rsidRPr="001B33B0" w:rsidRDefault="00A70B77" w:rsidP="00A70B77">
            <w:pPr>
              <w:spacing w:after="0" w:line="240" w:lineRule="auto"/>
              <w:jc w:val="right"/>
              <w:rPr>
                <w:rFonts w:eastAsia="Times New Roman" w:cs="Arial"/>
                <w:b/>
                <w:bCs/>
                <w:color w:val="000000"/>
                <w:sz w:val="20"/>
                <w:szCs w:val="20"/>
              </w:rPr>
            </w:pPr>
            <w:r w:rsidRPr="001B33B0">
              <w:rPr>
                <w:rFonts w:eastAsia="Times New Roman" w:cs="Arial"/>
                <w:b/>
                <w:bCs/>
                <w:color w:val="000000"/>
                <w:sz w:val="20"/>
                <w:szCs w:val="20"/>
              </w:rPr>
              <w:t>4,278,647</w:t>
            </w:r>
          </w:p>
        </w:tc>
        <w:tc>
          <w:tcPr>
            <w:tcW w:w="1876" w:type="dxa"/>
            <w:tcBorders>
              <w:top w:val="nil"/>
              <w:left w:val="nil"/>
              <w:bottom w:val="nil"/>
              <w:right w:val="nil"/>
            </w:tcBorders>
            <w:noWrap/>
            <w:vAlign w:val="bottom"/>
            <w:hideMark/>
          </w:tcPr>
          <w:p w14:paraId="13D28900" w14:textId="77777777" w:rsidR="00A70B77" w:rsidRPr="001B33B0" w:rsidRDefault="00A70B77" w:rsidP="00A70B77">
            <w:pPr>
              <w:spacing w:after="0" w:line="240" w:lineRule="auto"/>
              <w:jc w:val="right"/>
              <w:rPr>
                <w:rFonts w:eastAsia="Times New Roman" w:cs="Arial"/>
                <w:b/>
                <w:bCs/>
                <w:color w:val="000000"/>
                <w:sz w:val="20"/>
                <w:szCs w:val="20"/>
              </w:rPr>
            </w:pPr>
            <w:r w:rsidRPr="001B33B0">
              <w:rPr>
                <w:rFonts w:eastAsia="Times New Roman" w:cs="Arial"/>
                <w:b/>
                <w:bCs/>
                <w:color w:val="000000"/>
                <w:sz w:val="20"/>
                <w:szCs w:val="20"/>
              </w:rPr>
              <w:t>1,992,290</w:t>
            </w:r>
          </w:p>
        </w:tc>
        <w:tc>
          <w:tcPr>
            <w:tcW w:w="1050" w:type="dxa"/>
            <w:tcBorders>
              <w:top w:val="nil"/>
              <w:left w:val="nil"/>
              <w:bottom w:val="nil"/>
              <w:right w:val="nil"/>
            </w:tcBorders>
            <w:noWrap/>
            <w:vAlign w:val="bottom"/>
            <w:hideMark/>
          </w:tcPr>
          <w:p w14:paraId="0EDE86DE" w14:textId="77777777" w:rsidR="00A70B77" w:rsidRPr="001B33B0" w:rsidRDefault="00A70B77" w:rsidP="00A70B77">
            <w:pPr>
              <w:spacing w:after="0" w:line="240" w:lineRule="auto"/>
              <w:jc w:val="right"/>
              <w:rPr>
                <w:rFonts w:eastAsia="Times New Roman" w:cs="Arial"/>
                <w:b/>
                <w:bCs/>
                <w:color w:val="000000"/>
                <w:sz w:val="20"/>
                <w:szCs w:val="20"/>
              </w:rPr>
            </w:pPr>
          </w:p>
        </w:tc>
        <w:tc>
          <w:tcPr>
            <w:tcW w:w="1096" w:type="dxa"/>
            <w:tcBorders>
              <w:top w:val="nil"/>
              <w:left w:val="nil"/>
              <w:bottom w:val="nil"/>
              <w:right w:val="nil"/>
            </w:tcBorders>
            <w:noWrap/>
            <w:vAlign w:val="bottom"/>
            <w:hideMark/>
          </w:tcPr>
          <w:p w14:paraId="09E8992A"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3B48A1AC"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6C6F0CE9"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67F29618" w14:textId="77777777" w:rsidTr="00A70B77">
        <w:trPr>
          <w:trHeight w:val="288"/>
        </w:trPr>
        <w:tc>
          <w:tcPr>
            <w:tcW w:w="3456" w:type="dxa"/>
            <w:tcBorders>
              <w:top w:val="nil"/>
              <w:left w:val="nil"/>
              <w:bottom w:val="nil"/>
              <w:right w:val="nil"/>
            </w:tcBorders>
            <w:noWrap/>
            <w:vAlign w:val="bottom"/>
            <w:hideMark/>
          </w:tcPr>
          <w:p w14:paraId="2B694410"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Diluted Share Count (millions)</w:t>
            </w:r>
          </w:p>
        </w:tc>
        <w:tc>
          <w:tcPr>
            <w:tcW w:w="1616" w:type="dxa"/>
            <w:tcBorders>
              <w:top w:val="nil"/>
              <w:left w:val="nil"/>
              <w:bottom w:val="nil"/>
              <w:right w:val="nil"/>
            </w:tcBorders>
            <w:noWrap/>
            <w:vAlign w:val="bottom"/>
            <w:hideMark/>
          </w:tcPr>
          <w:p w14:paraId="0064E9C4"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14,829</w:t>
            </w:r>
          </w:p>
        </w:tc>
        <w:tc>
          <w:tcPr>
            <w:tcW w:w="1876" w:type="dxa"/>
            <w:tcBorders>
              <w:top w:val="nil"/>
              <w:left w:val="nil"/>
              <w:bottom w:val="nil"/>
              <w:right w:val="nil"/>
            </w:tcBorders>
            <w:noWrap/>
            <w:vAlign w:val="bottom"/>
            <w:hideMark/>
          </w:tcPr>
          <w:p w14:paraId="3A68B069"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14,829</w:t>
            </w:r>
          </w:p>
        </w:tc>
        <w:tc>
          <w:tcPr>
            <w:tcW w:w="1050" w:type="dxa"/>
            <w:tcBorders>
              <w:top w:val="nil"/>
              <w:left w:val="nil"/>
              <w:bottom w:val="nil"/>
              <w:right w:val="nil"/>
            </w:tcBorders>
            <w:noWrap/>
            <w:vAlign w:val="bottom"/>
            <w:hideMark/>
          </w:tcPr>
          <w:p w14:paraId="5D448C6D"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29CC297C"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18604581"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05715F8"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790B6AC2" w14:textId="77777777" w:rsidTr="00A70B77">
        <w:trPr>
          <w:trHeight w:val="288"/>
        </w:trPr>
        <w:tc>
          <w:tcPr>
            <w:tcW w:w="3456" w:type="dxa"/>
            <w:tcBorders>
              <w:top w:val="nil"/>
              <w:left w:val="nil"/>
              <w:bottom w:val="nil"/>
              <w:right w:val="nil"/>
            </w:tcBorders>
            <w:vAlign w:val="bottom"/>
            <w:hideMark/>
          </w:tcPr>
          <w:p w14:paraId="6075101A"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Estimated Equity Value per Share at 27-Sep-2025</w:t>
            </w:r>
          </w:p>
        </w:tc>
        <w:tc>
          <w:tcPr>
            <w:tcW w:w="1616" w:type="dxa"/>
            <w:tcBorders>
              <w:top w:val="nil"/>
              <w:left w:val="nil"/>
              <w:bottom w:val="nil"/>
              <w:right w:val="nil"/>
            </w:tcBorders>
            <w:noWrap/>
            <w:vAlign w:val="bottom"/>
            <w:hideMark/>
          </w:tcPr>
          <w:p w14:paraId="05F7992E"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$288.53</w:t>
            </w:r>
          </w:p>
        </w:tc>
        <w:tc>
          <w:tcPr>
            <w:tcW w:w="1876" w:type="dxa"/>
            <w:tcBorders>
              <w:top w:val="nil"/>
              <w:left w:val="nil"/>
              <w:bottom w:val="nil"/>
              <w:right w:val="nil"/>
            </w:tcBorders>
            <w:noWrap/>
            <w:vAlign w:val="bottom"/>
            <w:hideMark/>
          </w:tcPr>
          <w:p w14:paraId="06BC2420"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$134.35</w:t>
            </w:r>
          </w:p>
        </w:tc>
        <w:tc>
          <w:tcPr>
            <w:tcW w:w="1050" w:type="dxa"/>
            <w:tcBorders>
              <w:top w:val="nil"/>
              <w:left w:val="nil"/>
              <w:bottom w:val="nil"/>
              <w:right w:val="nil"/>
            </w:tcBorders>
            <w:noWrap/>
            <w:vAlign w:val="bottom"/>
            <w:hideMark/>
          </w:tcPr>
          <w:p w14:paraId="7AC28BC1"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14786ACB"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6AA5B500"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721DB73C"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7E8BBCE9" w14:textId="77777777" w:rsidTr="00A70B77">
        <w:trPr>
          <w:trHeight w:val="288"/>
        </w:trPr>
        <w:tc>
          <w:tcPr>
            <w:tcW w:w="3456" w:type="dxa"/>
            <w:tcBorders>
              <w:top w:val="nil"/>
              <w:left w:val="nil"/>
              <w:bottom w:val="nil"/>
              <w:right w:val="nil"/>
            </w:tcBorders>
            <w:vAlign w:val="bottom"/>
            <w:hideMark/>
          </w:tcPr>
          <w:p w14:paraId="460B9F52"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Years from valuation date to pricing date</w:t>
            </w:r>
          </w:p>
        </w:tc>
        <w:tc>
          <w:tcPr>
            <w:tcW w:w="1616" w:type="dxa"/>
            <w:tcBorders>
              <w:top w:val="nil"/>
              <w:left w:val="nil"/>
              <w:bottom w:val="nil"/>
              <w:right w:val="nil"/>
            </w:tcBorders>
            <w:noWrap/>
            <w:vAlign w:val="bottom"/>
            <w:hideMark/>
          </w:tcPr>
          <w:p w14:paraId="46EBD698"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1.03</w:t>
            </w:r>
          </w:p>
        </w:tc>
        <w:tc>
          <w:tcPr>
            <w:tcW w:w="1876" w:type="dxa"/>
            <w:tcBorders>
              <w:top w:val="nil"/>
              <w:left w:val="nil"/>
              <w:bottom w:val="nil"/>
              <w:right w:val="nil"/>
            </w:tcBorders>
            <w:noWrap/>
            <w:vAlign w:val="bottom"/>
            <w:hideMark/>
          </w:tcPr>
          <w:p w14:paraId="60945BD6"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1.03</w:t>
            </w:r>
          </w:p>
        </w:tc>
        <w:tc>
          <w:tcPr>
            <w:tcW w:w="1050" w:type="dxa"/>
            <w:tcBorders>
              <w:top w:val="nil"/>
              <w:left w:val="nil"/>
              <w:bottom w:val="nil"/>
              <w:right w:val="nil"/>
            </w:tcBorders>
            <w:noWrap/>
            <w:vAlign w:val="bottom"/>
            <w:hideMark/>
          </w:tcPr>
          <w:p w14:paraId="3693F9AF"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65DE795A"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22E2562D"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6010C613"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76243035" w14:textId="77777777" w:rsidTr="00A70B77">
        <w:trPr>
          <w:trHeight w:val="540"/>
        </w:trPr>
        <w:tc>
          <w:tcPr>
            <w:tcW w:w="3456" w:type="dxa"/>
            <w:tcBorders>
              <w:top w:val="nil"/>
              <w:left w:val="nil"/>
              <w:bottom w:val="nil"/>
              <w:right w:val="nil"/>
            </w:tcBorders>
            <w:vAlign w:val="bottom"/>
            <w:hideMark/>
          </w:tcPr>
          <w:p w14:paraId="51DB3A11"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Less: dividends per share paid in the period (FY26E DPS)</w:t>
            </w:r>
          </w:p>
        </w:tc>
        <w:tc>
          <w:tcPr>
            <w:tcW w:w="1616" w:type="dxa"/>
            <w:tcBorders>
              <w:top w:val="nil"/>
              <w:left w:val="nil"/>
              <w:bottom w:val="nil"/>
              <w:right w:val="nil"/>
            </w:tcBorders>
            <w:noWrap/>
            <w:vAlign w:val="bottom"/>
            <w:hideMark/>
          </w:tcPr>
          <w:p w14:paraId="624F8F17" w14:textId="77777777" w:rsidR="00A70B77" w:rsidRPr="001B33B0" w:rsidRDefault="00A70B77" w:rsidP="00A70B77">
            <w:pPr>
              <w:spacing w:after="0" w:line="240" w:lineRule="auto"/>
              <w:jc w:val="right"/>
              <w:rPr>
                <w:rFonts w:eastAsia="Times New Roman" w:cs="Arial"/>
                <w:color w:val="008000"/>
                <w:sz w:val="20"/>
                <w:szCs w:val="20"/>
              </w:rPr>
            </w:pPr>
            <w:r w:rsidRPr="001B33B0">
              <w:rPr>
                <w:rFonts w:eastAsia="Times New Roman" w:cs="Arial"/>
                <w:color w:val="008000"/>
                <w:sz w:val="20"/>
                <w:szCs w:val="20"/>
              </w:rPr>
              <w:t>$1.06</w:t>
            </w:r>
          </w:p>
        </w:tc>
        <w:tc>
          <w:tcPr>
            <w:tcW w:w="1876" w:type="dxa"/>
            <w:tcBorders>
              <w:top w:val="nil"/>
              <w:left w:val="nil"/>
              <w:bottom w:val="nil"/>
              <w:right w:val="nil"/>
            </w:tcBorders>
            <w:noWrap/>
            <w:vAlign w:val="bottom"/>
            <w:hideMark/>
          </w:tcPr>
          <w:p w14:paraId="21315B4B"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$1.06</w:t>
            </w:r>
          </w:p>
        </w:tc>
        <w:tc>
          <w:tcPr>
            <w:tcW w:w="1050" w:type="dxa"/>
            <w:tcBorders>
              <w:top w:val="nil"/>
              <w:left w:val="nil"/>
              <w:bottom w:val="nil"/>
              <w:right w:val="nil"/>
            </w:tcBorders>
            <w:noWrap/>
            <w:vAlign w:val="bottom"/>
            <w:hideMark/>
          </w:tcPr>
          <w:p w14:paraId="7D882256"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6A9A3221"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3882039D"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6ED17FE4"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4147E8F8" w14:textId="77777777" w:rsidTr="00A70B77">
        <w:trPr>
          <w:trHeight w:val="288"/>
        </w:trPr>
        <w:tc>
          <w:tcPr>
            <w:tcW w:w="3456" w:type="dxa"/>
            <w:tcBorders>
              <w:top w:val="nil"/>
              <w:left w:val="nil"/>
              <w:bottom w:val="nil"/>
              <w:right w:val="nil"/>
            </w:tcBorders>
            <w:noWrap/>
            <w:vAlign w:val="bottom"/>
            <w:hideMark/>
          </w:tcPr>
          <w:p w14:paraId="655A4E1F" w14:textId="77777777" w:rsidR="00A70B77" w:rsidRPr="001B33B0" w:rsidRDefault="00A70B77" w:rsidP="00A70B77">
            <w:pPr>
              <w:spacing w:after="0" w:line="240" w:lineRule="auto"/>
              <w:rPr>
                <w:rFonts w:eastAsia="Times New Roman" w:cs="Arial"/>
                <w:b/>
                <w:bCs/>
                <w:color w:val="8064A2"/>
                <w:sz w:val="20"/>
                <w:szCs w:val="20"/>
              </w:rPr>
            </w:pPr>
            <w:r w:rsidRPr="001B33B0">
              <w:rPr>
                <w:rFonts w:eastAsia="Times New Roman" w:cs="Arial"/>
                <w:b/>
                <w:bCs/>
                <w:color w:val="8064A2"/>
                <w:sz w:val="20"/>
                <w:szCs w:val="20"/>
              </w:rPr>
              <w:t xml:space="preserve">Equity Value per </w:t>
            </w:r>
          </w:p>
        </w:tc>
        <w:tc>
          <w:tcPr>
            <w:tcW w:w="1616" w:type="dxa"/>
            <w:tcBorders>
              <w:top w:val="nil"/>
              <w:left w:val="nil"/>
              <w:bottom w:val="nil"/>
              <w:right w:val="nil"/>
            </w:tcBorders>
            <w:noWrap/>
            <w:vAlign w:val="bottom"/>
            <w:hideMark/>
          </w:tcPr>
          <w:p w14:paraId="5473F89E"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$317.79</w:t>
            </w:r>
          </w:p>
        </w:tc>
        <w:tc>
          <w:tcPr>
            <w:tcW w:w="1876" w:type="dxa"/>
            <w:tcBorders>
              <w:top w:val="nil"/>
              <w:left w:val="nil"/>
              <w:bottom w:val="nil"/>
              <w:right w:val="nil"/>
            </w:tcBorders>
            <w:noWrap/>
            <w:vAlign w:val="bottom"/>
            <w:hideMark/>
          </w:tcPr>
          <w:p w14:paraId="00159AD2"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$147.41</w:t>
            </w:r>
          </w:p>
        </w:tc>
        <w:tc>
          <w:tcPr>
            <w:tcW w:w="1050" w:type="dxa"/>
            <w:tcBorders>
              <w:top w:val="nil"/>
              <w:left w:val="nil"/>
              <w:bottom w:val="nil"/>
              <w:right w:val="nil"/>
            </w:tcBorders>
            <w:noWrap/>
            <w:vAlign w:val="bottom"/>
            <w:hideMark/>
          </w:tcPr>
          <w:p w14:paraId="57E12076"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72A73538"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13B19178"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1E266045"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78251DFA" w14:textId="77777777" w:rsidTr="00A70B77">
        <w:trPr>
          <w:trHeight w:val="288"/>
        </w:trPr>
        <w:tc>
          <w:tcPr>
            <w:tcW w:w="3456" w:type="dxa"/>
            <w:tcBorders>
              <w:top w:val="nil"/>
              <w:left w:val="nil"/>
              <w:bottom w:val="nil"/>
              <w:right w:val="nil"/>
            </w:tcBorders>
            <w:noWrap/>
            <w:vAlign w:val="bottom"/>
            <w:hideMark/>
          </w:tcPr>
          <w:p w14:paraId="7EC14AE1"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Current share price</w:t>
            </w:r>
          </w:p>
        </w:tc>
        <w:tc>
          <w:tcPr>
            <w:tcW w:w="1616" w:type="dxa"/>
            <w:tcBorders>
              <w:top w:val="nil"/>
              <w:left w:val="nil"/>
              <w:bottom w:val="nil"/>
              <w:right w:val="nil"/>
            </w:tcBorders>
            <w:noWrap/>
            <w:vAlign w:val="bottom"/>
            <w:hideMark/>
          </w:tcPr>
          <w:p w14:paraId="5862A34E"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$340.42</w:t>
            </w:r>
          </w:p>
        </w:tc>
        <w:tc>
          <w:tcPr>
            <w:tcW w:w="1876" w:type="dxa"/>
            <w:tcBorders>
              <w:top w:val="nil"/>
              <w:left w:val="nil"/>
              <w:bottom w:val="nil"/>
              <w:right w:val="nil"/>
            </w:tcBorders>
            <w:noWrap/>
            <w:vAlign w:val="bottom"/>
            <w:hideMark/>
          </w:tcPr>
          <w:p w14:paraId="5B1FD40E"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$340.42</w:t>
            </w:r>
          </w:p>
        </w:tc>
        <w:tc>
          <w:tcPr>
            <w:tcW w:w="1050" w:type="dxa"/>
            <w:tcBorders>
              <w:top w:val="nil"/>
              <w:left w:val="nil"/>
              <w:bottom w:val="nil"/>
              <w:right w:val="nil"/>
            </w:tcBorders>
            <w:noWrap/>
            <w:vAlign w:val="bottom"/>
            <w:hideMark/>
          </w:tcPr>
          <w:p w14:paraId="6F170C6D"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6244AEA7"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7FED1CA6"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671004B"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r w:rsidR="00A70B77" w:rsidRPr="001B33B0" w14:paraId="310AEEF8" w14:textId="77777777" w:rsidTr="00A70B77">
        <w:trPr>
          <w:trHeight w:val="540"/>
        </w:trPr>
        <w:tc>
          <w:tcPr>
            <w:tcW w:w="3456" w:type="dxa"/>
            <w:tcBorders>
              <w:top w:val="nil"/>
              <w:left w:val="nil"/>
              <w:bottom w:val="nil"/>
              <w:right w:val="nil"/>
            </w:tcBorders>
            <w:vAlign w:val="bottom"/>
            <w:hideMark/>
          </w:tcPr>
          <w:p w14:paraId="42FBECC4" w14:textId="77777777" w:rsidR="00A70B77" w:rsidRPr="001B33B0" w:rsidRDefault="00A70B77" w:rsidP="00A70B77">
            <w:pPr>
              <w:spacing w:after="0" w:line="240" w:lineRule="auto"/>
              <w:rPr>
                <w:rFonts w:eastAsia="Times New Roman" w:cs="Arial"/>
                <w:color w:val="000000"/>
                <w:sz w:val="20"/>
                <w:szCs w:val="20"/>
              </w:rPr>
            </w:pPr>
            <w:r w:rsidRPr="001B33B0">
              <w:rPr>
                <w:rFonts w:eastAsia="Times New Roman" w:cs="Arial"/>
                <w:color w:val="000000"/>
                <w:sz w:val="20"/>
                <w:szCs w:val="20"/>
              </w:rPr>
              <w:t>DCF value vs. current price: premium / (discount)</w:t>
            </w:r>
          </w:p>
        </w:tc>
        <w:tc>
          <w:tcPr>
            <w:tcW w:w="1616" w:type="dxa"/>
            <w:tcBorders>
              <w:top w:val="nil"/>
              <w:left w:val="nil"/>
              <w:bottom w:val="nil"/>
              <w:right w:val="nil"/>
            </w:tcBorders>
            <w:noWrap/>
            <w:vAlign w:val="bottom"/>
            <w:hideMark/>
          </w:tcPr>
          <w:p w14:paraId="55B6F93D"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(6.6%)</w:t>
            </w:r>
          </w:p>
        </w:tc>
        <w:tc>
          <w:tcPr>
            <w:tcW w:w="1876" w:type="dxa"/>
            <w:tcBorders>
              <w:top w:val="nil"/>
              <w:left w:val="nil"/>
              <w:bottom w:val="nil"/>
              <w:right w:val="nil"/>
            </w:tcBorders>
            <w:noWrap/>
            <w:vAlign w:val="bottom"/>
            <w:hideMark/>
          </w:tcPr>
          <w:p w14:paraId="6784716C" w14:textId="77777777" w:rsidR="00A70B77" w:rsidRPr="001B33B0" w:rsidRDefault="00A70B77" w:rsidP="00A70B77">
            <w:pPr>
              <w:spacing w:after="0" w:line="240" w:lineRule="auto"/>
              <w:jc w:val="right"/>
              <w:rPr>
                <w:rFonts w:eastAsia="Times New Roman" w:cs="Arial"/>
                <w:color w:val="000000"/>
                <w:sz w:val="20"/>
                <w:szCs w:val="20"/>
              </w:rPr>
            </w:pPr>
            <w:r w:rsidRPr="001B33B0">
              <w:rPr>
                <w:rFonts w:eastAsia="Times New Roman" w:cs="Arial"/>
                <w:color w:val="000000"/>
                <w:sz w:val="20"/>
                <w:szCs w:val="20"/>
              </w:rPr>
              <w:t>(56.7%)</w:t>
            </w:r>
          </w:p>
        </w:tc>
        <w:tc>
          <w:tcPr>
            <w:tcW w:w="1050" w:type="dxa"/>
            <w:tcBorders>
              <w:top w:val="nil"/>
              <w:left w:val="nil"/>
              <w:bottom w:val="nil"/>
              <w:right w:val="nil"/>
            </w:tcBorders>
            <w:noWrap/>
            <w:vAlign w:val="bottom"/>
            <w:hideMark/>
          </w:tcPr>
          <w:p w14:paraId="5F003B63" w14:textId="77777777" w:rsidR="00A70B77" w:rsidRPr="001B33B0" w:rsidRDefault="00A70B77" w:rsidP="00A70B77">
            <w:pPr>
              <w:spacing w:after="0" w:line="240" w:lineRule="auto"/>
              <w:jc w:val="right"/>
              <w:rPr>
                <w:rFonts w:eastAsia="Times New Roman" w:cs="Arial"/>
                <w:color w:val="000000"/>
                <w:sz w:val="20"/>
                <w:szCs w:val="20"/>
              </w:rPr>
            </w:pPr>
          </w:p>
        </w:tc>
        <w:tc>
          <w:tcPr>
            <w:tcW w:w="1096" w:type="dxa"/>
            <w:tcBorders>
              <w:top w:val="nil"/>
              <w:left w:val="nil"/>
              <w:bottom w:val="nil"/>
              <w:right w:val="nil"/>
            </w:tcBorders>
            <w:noWrap/>
            <w:vAlign w:val="bottom"/>
            <w:hideMark/>
          </w:tcPr>
          <w:p w14:paraId="26F3282C"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5958E657" w14:textId="77777777" w:rsidR="00A70B77" w:rsidRPr="001B33B0" w:rsidRDefault="00A70B77" w:rsidP="00A70B77">
            <w:pPr>
              <w:spacing w:after="0" w:line="240" w:lineRule="auto"/>
              <w:rPr>
                <w:rFonts w:ascii="Times New Roman" w:eastAsia="Times New Roman" w:hAnsi="Times New Roman" w:cs="Times New Roman"/>
                <w:sz w:val="20"/>
                <w:szCs w:val="20"/>
              </w:rPr>
            </w:pPr>
          </w:p>
        </w:tc>
        <w:tc>
          <w:tcPr>
            <w:tcW w:w="1050" w:type="dxa"/>
            <w:tcBorders>
              <w:top w:val="nil"/>
              <w:left w:val="nil"/>
              <w:bottom w:val="nil"/>
              <w:right w:val="nil"/>
            </w:tcBorders>
            <w:noWrap/>
            <w:vAlign w:val="bottom"/>
            <w:hideMark/>
          </w:tcPr>
          <w:p w14:paraId="428986F3" w14:textId="77777777" w:rsidR="00A70B77" w:rsidRPr="001B33B0" w:rsidRDefault="00A70B77" w:rsidP="00A70B77">
            <w:pPr>
              <w:spacing w:after="0" w:line="240" w:lineRule="auto"/>
              <w:rPr>
                <w:rFonts w:ascii="Times New Roman" w:eastAsia="Times New Roman" w:hAnsi="Times New Roman" w:cs="Times New Roman"/>
                <w:sz w:val="20"/>
                <w:szCs w:val="20"/>
              </w:rPr>
            </w:pPr>
          </w:p>
        </w:tc>
      </w:tr>
    </w:tbl>
    <w:p w14:paraId="0B7E8001" w14:textId="77777777" w:rsidR="00A70B77" w:rsidRDefault="00A70B77" w:rsidP="00A70B77">
      <w:pPr>
        <w:spacing w:before="40" w:after="100"/>
      </w:pPr>
      <w:r>
        <w:rPr>
          <w:i/>
          <w:color w:val="5F5F5F"/>
          <w:sz w:val="15"/>
        </w:rPr>
        <w:t xml:space="preserve">Source: </w:t>
      </w:r>
      <w:proofErr w:type="spellStart"/>
      <w:r>
        <w:rPr>
          <w:i/>
          <w:color w:val="5F5F5F"/>
          <w:sz w:val="15"/>
        </w:rPr>
        <w:t>aApple</w:t>
      </w:r>
      <w:proofErr w:type="spellEnd"/>
      <w:r>
        <w:rPr>
          <w:i/>
          <w:color w:val="5F5F5F"/>
          <w:sz w:val="15"/>
        </w:rPr>
        <w:t xml:space="preserve"> </w:t>
      </w:r>
      <w:proofErr w:type="gramStart"/>
      <w:r>
        <w:rPr>
          <w:i/>
          <w:color w:val="5F5F5F"/>
          <w:sz w:val="15"/>
        </w:rPr>
        <w:t>DCF(</w:t>
      </w:r>
      <w:proofErr w:type="gramEnd"/>
      <w:r>
        <w:rPr>
          <w:i/>
          <w:color w:val="5F5F5F"/>
          <w:sz w:val="15"/>
        </w:rPr>
        <w:t>4).xlsx, Valuation, unlevered free cash flow and DCF outputs; USD millions unless otherwise stated.</w:t>
      </w:r>
    </w:p>
    <w:p w14:paraId="0F016D06" w14:textId="77777777" w:rsidR="00A70B77" w:rsidRDefault="00A70B77"/>
    <w:p w14:paraId="57FD4FF4" w14:textId="77777777" w:rsidR="00DC332F" w:rsidRDefault="00DC332F" w:rsidP="00DC332F">
      <w:pPr>
        <w:spacing w:after="0" w:line="240" w:lineRule="auto"/>
        <w:jc w:val="both"/>
        <w:rPr>
          <w:rFonts w:eastAsia="Times New Roman" w:cs="Arial"/>
          <w:b/>
          <w:bCs/>
          <w:color w:val="8064A2"/>
          <w:sz w:val="20"/>
          <w:szCs w:val="20"/>
        </w:rPr>
      </w:pPr>
      <w:r>
        <w:rPr>
          <w:rFonts w:eastAsia="Times New Roman" w:cs="Arial"/>
          <w:b/>
          <w:bCs/>
          <w:color w:val="8064A2"/>
          <w:sz w:val="20"/>
          <w:szCs w:val="20"/>
        </w:rPr>
        <w:lastRenderedPageBreak/>
        <w:t xml:space="preserve"> </w:t>
      </w:r>
      <w:r w:rsidRPr="001B33B0">
        <w:rPr>
          <w:rFonts w:eastAsia="Times New Roman" w:cs="Arial"/>
          <w:b/>
          <w:bCs/>
          <w:color w:val="8064A2"/>
          <w:sz w:val="20"/>
          <w:szCs w:val="20"/>
        </w:rPr>
        <w:t>Sensitivity Analysis</w:t>
      </w:r>
    </w:p>
    <w:p w14:paraId="55FD1338" w14:textId="2BF1165D" w:rsidR="00DC332F" w:rsidRDefault="00DC332F" w:rsidP="006A658D">
      <w:pPr>
        <w:spacing w:after="0" w:line="240" w:lineRule="auto"/>
        <w:rPr>
          <w:rFonts w:eastAsia="Times New Roman" w:cs="Arial"/>
          <w:b/>
          <w:bCs/>
          <w:color w:val="8064A2"/>
          <w:sz w:val="20"/>
          <w:szCs w:val="20"/>
        </w:rPr>
      </w:pPr>
    </w:p>
    <w:p w14:paraId="2307933D" w14:textId="77777777" w:rsidR="00DC332F" w:rsidRDefault="00DC332F" w:rsidP="006A658D">
      <w:pPr>
        <w:spacing w:after="0" w:line="240" w:lineRule="auto"/>
        <w:rPr>
          <w:rFonts w:eastAsia="Times New Roman" w:cs="Arial"/>
          <w:b/>
          <w:bCs/>
          <w:color w:val="8064A2"/>
          <w:sz w:val="20"/>
          <w:szCs w:val="20"/>
        </w:rPr>
      </w:pPr>
    </w:p>
    <w:p w14:paraId="7546E715" w14:textId="77777777" w:rsidR="00DC332F" w:rsidRDefault="00DC332F" w:rsidP="006A658D">
      <w:pPr>
        <w:spacing w:after="0" w:line="240" w:lineRule="auto"/>
        <w:rPr>
          <w:rFonts w:eastAsia="Times New Roman" w:cs="Arial"/>
          <w:b/>
          <w:bCs/>
          <w:color w:val="8064A2"/>
          <w:sz w:val="20"/>
          <w:szCs w:val="20"/>
        </w:rPr>
      </w:pPr>
    </w:p>
    <w:p w14:paraId="1E0AB5B2" w14:textId="77777777" w:rsidR="006A658D" w:rsidRDefault="006A658D" w:rsidP="006A658D">
      <w:pPr>
        <w:spacing w:after="0" w:line="240" w:lineRule="auto"/>
        <w:rPr>
          <w:rFonts w:eastAsia="Times New Roman" w:cs="Arial"/>
          <w:b/>
          <w:bCs/>
          <w:color w:val="8064A2"/>
          <w:sz w:val="20"/>
          <w:szCs w:val="20"/>
        </w:rPr>
      </w:pPr>
    </w:p>
    <w:p w14:paraId="0C5FB049" w14:textId="77777777" w:rsidR="006A658D" w:rsidRPr="006A658D" w:rsidRDefault="006A658D" w:rsidP="006A658D">
      <w:pPr>
        <w:spacing w:after="0" w:line="240" w:lineRule="auto"/>
        <w:rPr>
          <w:rFonts w:eastAsia="Times New Roman" w:cs="Arial"/>
          <w:b/>
          <w:bCs/>
          <w:color w:val="8064A2"/>
          <w:sz w:val="20"/>
          <w:szCs w:val="20"/>
        </w:rPr>
      </w:pPr>
    </w:p>
    <w:p w14:paraId="4DFAAAB3" w14:textId="77777777" w:rsidR="001B33B0" w:rsidRDefault="001B33B0"/>
    <w:p w14:paraId="24736820" w14:textId="77777777" w:rsidR="001B33B0" w:rsidRDefault="001B33B0"/>
    <w:p w14:paraId="7A6E57F5" w14:textId="77777777" w:rsidR="001B33B0" w:rsidRDefault="001B33B0"/>
    <w:p w14:paraId="76314504" w14:textId="77777777" w:rsidR="001B33B0" w:rsidRDefault="001B33B0"/>
    <w:p w14:paraId="5B31A3C3" w14:textId="77777777" w:rsidR="001B33B0" w:rsidRDefault="001B33B0"/>
    <w:tbl>
      <w:tblPr>
        <w:tblpPr w:leftFromText="180" w:rightFromText="180" w:vertAnchor="page" w:horzAnchor="margin" w:tblpY="1897"/>
        <w:tblOverlap w:val="never"/>
        <w:tblW w:w="7348" w:type="dxa"/>
        <w:tblLook w:val="04A0" w:firstRow="1" w:lastRow="0" w:firstColumn="1" w:lastColumn="0" w:noHBand="0" w:noVBand="1"/>
      </w:tblPr>
      <w:tblGrid>
        <w:gridCol w:w="1616"/>
        <w:gridCol w:w="1876"/>
        <w:gridCol w:w="964"/>
        <w:gridCol w:w="964"/>
        <w:gridCol w:w="964"/>
        <w:gridCol w:w="964"/>
      </w:tblGrid>
      <w:tr w:rsidR="00DC332F" w:rsidRPr="001B33B0" w14:paraId="3B119D0C" w14:textId="77777777" w:rsidTr="00DC332F">
        <w:trPr>
          <w:trHeight w:val="1170"/>
        </w:trPr>
        <w:tc>
          <w:tcPr>
            <w:tcW w:w="1616" w:type="dxa"/>
            <w:tcBorders>
              <w:top w:val="nil"/>
              <w:left w:val="nil"/>
              <w:bottom w:val="nil"/>
              <w:right w:val="nil"/>
            </w:tcBorders>
            <w:noWrap/>
            <w:vAlign w:val="bottom"/>
            <w:hideMark/>
          </w:tcPr>
          <w:p w14:paraId="2C09C4F8" w14:textId="77777777" w:rsidR="00DC332F" w:rsidRPr="001B33B0" w:rsidRDefault="00DC332F" w:rsidP="00DC332F">
            <w:pPr>
              <w:spacing w:after="0" w:line="240" w:lineRule="auto"/>
              <w:rPr>
                <w:rFonts w:ascii="Times New Roman" w:eastAsia="Times New Roman" w:hAnsi="Times New Roman" w:cs="Times New Roman"/>
                <w:sz w:val="20"/>
                <w:szCs w:val="24"/>
              </w:rPr>
            </w:pPr>
          </w:p>
        </w:tc>
        <w:tc>
          <w:tcPr>
            <w:tcW w:w="1876" w:type="dxa"/>
            <w:tcBorders>
              <w:top w:val="nil"/>
              <w:left w:val="nil"/>
              <w:bottom w:val="nil"/>
              <w:right w:val="nil"/>
            </w:tcBorders>
            <w:noWrap/>
            <w:vAlign w:val="bottom"/>
            <w:hideMark/>
          </w:tcPr>
          <w:p w14:paraId="0DD63846" w14:textId="77777777" w:rsidR="00DC332F" w:rsidRPr="001B33B0" w:rsidRDefault="00DC332F" w:rsidP="00DC332F">
            <w:pPr>
              <w:spacing w:after="0" w:line="240" w:lineRule="auto"/>
              <w:rPr>
                <w:rFonts w:ascii="Times New Roman" w:eastAsia="Times New Roman" w:hAnsi="Times New Roman" w:cs="Times New Roman"/>
                <w:sz w:val="20"/>
                <w:szCs w:val="20"/>
              </w:rPr>
            </w:pPr>
          </w:p>
        </w:tc>
        <w:tc>
          <w:tcPr>
            <w:tcW w:w="3856" w:type="dxa"/>
            <w:gridSpan w:val="4"/>
            <w:tcBorders>
              <w:top w:val="nil"/>
              <w:left w:val="nil"/>
              <w:bottom w:val="nil"/>
              <w:right w:val="nil"/>
            </w:tcBorders>
            <w:noWrap/>
            <w:hideMark/>
          </w:tcPr>
          <w:p w14:paraId="515A1BAB" w14:textId="77777777" w:rsidR="00DC332F" w:rsidRDefault="00DC332F" w:rsidP="00DC332F">
            <w:pPr>
              <w:spacing w:after="0" w:line="240" w:lineRule="auto"/>
              <w:rPr>
                <w:rFonts w:eastAsia="Times New Roman" w:cs="Arial"/>
                <w:b/>
                <w:bCs/>
                <w:color w:val="8064A2"/>
                <w:sz w:val="20"/>
                <w:szCs w:val="20"/>
              </w:rPr>
            </w:pPr>
          </w:p>
          <w:p w14:paraId="08E45806" w14:textId="77777777" w:rsidR="00DC332F" w:rsidRPr="001B33B0" w:rsidRDefault="00DC332F" w:rsidP="00DC332F">
            <w:pPr>
              <w:spacing w:after="0" w:line="240" w:lineRule="auto"/>
              <w:rPr>
                <w:rFonts w:eastAsia="Times New Roman" w:cs="Arial"/>
                <w:b/>
                <w:bCs/>
                <w:color w:val="8064A2"/>
                <w:sz w:val="20"/>
                <w:szCs w:val="20"/>
              </w:rPr>
            </w:pPr>
            <w:r w:rsidRPr="001B33B0">
              <w:rPr>
                <w:rFonts w:eastAsia="Times New Roman" w:cs="Arial"/>
                <w:b/>
                <w:bCs/>
                <w:color w:val="8064A2"/>
                <w:sz w:val="20"/>
                <w:szCs w:val="20"/>
              </w:rPr>
              <w:t>EBITDA Exit Multiple Method</w:t>
            </w:r>
          </w:p>
        </w:tc>
      </w:tr>
      <w:tr w:rsidR="00DC332F" w:rsidRPr="001B33B0" w14:paraId="6BA2A47F" w14:textId="77777777" w:rsidTr="00DC332F">
        <w:trPr>
          <w:trHeight w:val="68"/>
        </w:trPr>
        <w:tc>
          <w:tcPr>
            <w:tcW w:w="1616" w:type="dxa"/>
            <w:tcBorders>
              <w:top w:val="nil"/>
              <w:left w:val="nil"/>
              <w:bottom w:val="nil"/>
              <w:right w:val="nil"/>
            </w:tcBorders>
            <w:noWrap/>
            <w:vAlign w:val="bottom"/>
            <w:hideMark/>
          </w:tcPr>
          <w:p w14:paraId="2DC2980C" w14:textId="77777777" w:rsidR="00DC332F" w:rsidRPr="001B33B0" w:rsidRDefault="00DC332F" w:rsidP="00DC332F">
            <w:pPr>
              <w:spacing w:after="0" w:line="240" w:lineRule="auto"/>
              <w:jc w:val="right"/>
              <w:rPr>
                <w:rFonts w:eastAsia="Times New Roman" w:cs="Arial"/>
                <w:b/>
                <w:bCs/>
                <w:color w:val="000000"/>
                <w:sz w:val="20"/>
                <w:szCs w:val="20"/>
              </w:rPr>
            </w:pPr>
            <w:r w:rsidRPr="001B33B0">
              <w:rPr>
                <w:rFonts w:eastAsia="Times New Roman" w:cs="Arial"/>
                <w:b/>
                <w:bCs/>
                <w:color w:val="000000"/>
                <w:sz w:val="20"/>
                <w:szCs w:val="20"/>
              </w:rPr>
              <w:t>$317.79</w:t>
            </w:r>
          </w:p>
        </w:tc>
        <w:tc>
          <w:tcPr>
            <w:tcW w:w="1876" w:type="dxa"/>
            <w:tcBorders>
              <w:top w:val="nil"/>
              <w:left w:val="nil"/>
              <w:bottom w:val="nil"/>
              <w:right w:val="nil"/>
            </w:tcBorders>
            <w:noWrap/>
            <w:vAlign w:val="bottom"/>
            <w:hideMark/>
          </w:tcPr>
          <w:p w14:paraId="1D4FD12A"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19.4x</w:t>
            </w:r>
          </w:p>
        </w:tc>
        <w:tc>
          <w:tcPr>
            <w:tcW w:w="964" w:type="dxa"/>
            <w:tcBorders>
              <w:top w:val="nil"/>
              <w:left w:val="nil"/>
              <w:bottom w:val="nil"/>
              <w:right w:val="nil"/>
            </w:tcBorders>
            <w:noWrap/>
            <w:vAlign w:val="bottom"/>
            <w:hideMark/>
          </w:tcPr>
          <w:p w14:paraId="1A17F2B4"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24.4x</w:t>
            </w:r>
          </w:p>
        </w:tc>
        <w:tc>
          <w:tcPr>
            <w:tcW w:w="964" w:type="dxa"/>
            <w:tcBorders>
              <w:top w:val="nil"/>
              <w:left w:val="nil"/>
              <w:bottom w:val="nil"/>
              <w:right w:val="nil"/>
            </w:tcBorders>
            <w:noWrap/>
            <w:vAlign w:val="bottom"/>
            <w:hideMark/>
          </w:tcPr>
          <w:p w14:paraId="23C6B0F2"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29.4x</w:t>
            </w:r>
          </w:p>
        </w:tc>
        <w:tc>
          <w:tcPr>
            <w:tcW w:w="964" w:type="dxa"/>
            <w:tcBorders>
              <w:top w:val="nil"/>
              <w:left w:val="nil"/>
              <w:bottom w:val="nil"/>
              <w:right w:val="nil"/>
            </w:tcBorders>
            <w:noWrap/>
            <w:vAlign w:val="bottom"/>
            <w:hideMark/>
          </w:tcPr>
          <w:p w14:paraId="187EE751"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34.4x</w:t>
            </w:r>
          </w:p>
        </w:tc>
        <w:tc>
          <w:tcPr>
            <w:tcW w:w="964" w:type="dxa"/>
            <w:tcBorders>
              <w:top w:val="nil"/>
              <w:left w:val="nil"/>
              <w:bottom w:val="nil"/>
              <w:right w:val="nil"/>
            </w:tcBorders>
            <w:noWrap/>
            <w:vAlign w:val="bottom"/>
            <w:hideMark/>
          </w:tcPr>
          <w:p w14:paraId="577CD921"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39.4x</w:t>
            </w:r>
          </w:p>
        </w:tc>
      </w:tr>
      <w:tr w:rsidR="00DC332F" w:rsidRPr="001B33B0" w14:paraId="624F2702" w14:textId="77777777" w:rsidTr="00DC332F">
        <w:trPr>
          <w:trHeight w:val="288"/>
        </w:trPr>
        <w:tc>
          <w:tcPr>
            <w:tcW w:w="1616" w:type="dxa"/>
            <w:tcBorders>
              <w:top w:val="nil"/>
              <w:left w:val="nil"/>
              <w:bottom w:val="nil"/>
              <w:right w:val="nil"/>
            </w:tcBorders>
            <w:noWrap/>
            <w:vAlign w:val="bottom"/>
            <w:hideMark/>
          </w:tcPr>
          <w:p w14:paraId="598D9059"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8.08%</w:t>
            </w:r>
          </w:p>
        </w:tc>
        <w:tc>
          <w:tcPr>
            <w:tcW w:w="1876" w:type="dxa"/>
            <w:tcBorders>
              <w:top w:val="single" w:sz="4" w:space="0" w:color="auto"/>
              <w:left w:val="single" w:sz="4" w:space="0" w:color="auto"/>
              <w:bottom w:val="nil"/>
              <w:right w:val="nil"/>
            </w:tcBorders>
            <w:noWrap/>
            <w:vAlign w:val="bottom"/>
            <w:hideMark/>
          </w:tcPr>
          <w:p w14:paraId="26E79C0C"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$243.35</w:t>
            </w:r>
          </w:p>
        </w:tc>
        <w:tc>
          <w:tcPr>
            <w:tcW w:w="964" w:type="dxa"/>
            <w:tcBorders>
              <w:top w:val="single" w:sz="4" w:space="0" w:color="auto"/>
              <w:left w:val="nil"/>
              <w:bottom w:val="nil"/>
              <w:right w:val="nil"/>
            </w:tcBorders>
            <w:noWrap/>
            <w:vAlign w:val="bottom"/>
            <w:hideMark/>
          </w:tcPr>
          <w:p w14:paraId="1E5A398D"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$294.95</w:t>
            </w:r>
          </w:p>
        </w:tc>
        <w:tc>
          <w:tcPr>
            <w:tcW w:w="964" w:type="dxa"/>
            <w:tcBorders>
              <w:top w:val="single" w:sz="4" w:space="0" w:color="auto"/>
              <w:left w:val="nil"/>
              <w:bottom w:val="nil"/>
              <w:right w:val="nil"/>
            </w:tcBorders>
            <w:noWrap/>
            <w:vAlign w:val="bottom"/>
            <w:hideMark/>
          </w:tcPr>
          <w:p w14:paraId="065E8AC0"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$346.55</w:t>
            </w:r>
          </w:p>
        </w:tc>
        <w:tc>
          <w:tcPr>
            <w:tcW w:w="964" w:type="dxa"/>
            <w:tcBorders>
              <w:top w:val="single" w:sz="4" w:space="0" w:color="auto"/>
              <w:left w:val="nil"/>
              <w:bottom w:val="nil"/>
              <w:right w:val="nil"/>
            </w:tcBorders>
            <w:noWrap/>
            <w:vAlign w:val="bottom"/>
            <w:hideMark/>
          </w:tcPr>
          <w:p w14:paraId="73FDA7E3"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$398.15</w:t>
            </w:r>
          </w:p>
        </w:tc>
        <w:tc>
          <w:tcPr>
            <w:tcW w:w="964" w:type="dxa"/>
            <w:tcBorders>
              <w:top w:val="single" w:sz="4" w:space="0" w:color="auto"/>
              <w:left w:val="nil"/>
              <w:bottom w:val="nil"/>
              <w:right w:val="nil"/>
            </w:tcBorders>
            <w:noWrap/>
            <w:vAlign w:val="bottom"/>
            <w:hideMark/>
          </w:tcPr>
          <w:p w14:paraId="651E9BE2"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$449.75</w:t>
            </w:r>
          </w:p>
        </w:tc>
      </w:tr>
      <w:tr w:rsidR="00DC332F" w:rsidRPr="001B33B0" w14:paraId="5D453943" w14:textId="77777777" w:rsidTr="00DC332F">
        <w:trPr>
          <w:trHeight w:val="288"/>
        </w:trPr>
        <w:tc>
          <w:tcPr>
            <w:tcW w:w="1616" w:type="dxa"/>
            <w:tcBorders>
              <w:top w:val="nil"/>
              <w:left w:val="nil"/>
              <w:bottom w:val="nil"/>
              <w:right w:val="nil"/>
            </w:tcBorders>
            <w:noWrap/>
            <w:vAlign w:val="bottom"/>
            <w:hideMark/>
          </w:tcPr>
          <w:p w14:paraId="119865E0"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9.08%</w:t>
            </w:r>
          </w:p>
        </w:tc>
        <w:tc>
          <w:tcPr>
            <w:tcW w:w="1876" w:type="dxa"/>
            <w:tcBorders>
              <w:top w:val="nil"/>
              <w:left w:val="single" w:sz="4" w:space="0" w:color="auto"/>
              <w:bottom w:val="nil"/>
              <w:right w:val="nil"/>
            </w:tcBorders>
            <w:noWrap/>
            <w:vAlign w:val="bottom"/>
            <w:hideMark/>
          </w:tcPr>
          <w:p w14:paraId="1E88F64D"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$233.22</w:t>
            </w:r>
          </w:p>
        </w:tc>
        <w:tc>
          <w:tcPr>
            <w:tcW w:w="964" w:type="dxa"/>
            <w:tcBorders>
              <w:top w:val="nil"/>
              <w:left w:val="nil"/>
              <w:bottom w:val="nil"/>
              <w:right w:val="nil"/>
            </w:tcBorders>
            <w:shd w:val="clear" w:color="000000" w:fill="E4DFEC"/>
            <w:noWrap/>
            <w:vAlign w:val="bottom"/>
            <w:hideMark/>
          </w:tcPr>
          <w:p w14:paraId="075DBD18"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$282.50</w:t>
            </w:r>
          </w:p>
        </w:tc>
        <w:tc>
          <w:tcPr>
            <w:tcW w:w="964" w:type="dxa"/>
            <w:tcBorders>
              <w:top w:val="nil"/>
              <w:left w:val="nil"/>
              <w:bottom w:val="nil"/>
              <w:right w:val="nil"/>
            </w:tcBorders>
            <w:shd w:val="clear" w:color="000000" w:fill="E4DFEC"/>
            <w:noWrap/>
            <w:vAlign w:val="bottom"/>
            <w:hideMark/>
          </w:tcPr>
          <w:p w14:paraId="322C0262"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$331.78</w:t>
            </w:r>
          </w:p>
        </w:tc>
        <w:tc>
          <w:tcPr>
            <w:tcW w:w="964" w:type="dxa"/>
            <w:tcBorders>
              <w:top w:val="nil"/>
              <w:left w:val="nil"/>
              <w:bottom w:val="nil"/>
              <w:right w:val="nil"/>
            </w:tcBorders>
            <w:shd w:val="clear" w:color="000000" w:fill="E4DFEC"/>
            <w:noWrap/>
            <w:vAlign w:val="bottom"/>
            <w:hideMark/>
          </w:tcPr>
          <w:p w14:paraId="5D643A13"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$381.06</w:t>
            </w:r>
          </w:p>
        </w:tc>
        <w:tc>
          <w:tcPr>
            <w:tcW w:w="964" w:type="dxa"/>
            <w:tcBorders>
              <w:top w:val="nil"/>
              <w:left w:val="nil"/>
              <w:bottom w:val="nil"/>
              <w:right w:val="nil"/>
            </w:tcBorders>
            <w:noWrap/>
            <w:vAlign w:val="bottom"/>
            <w:hideMark/>
          </w:tcPr>
          <w:p w14:paraId="6914C7E3"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$430.34</w:t>
            </w:r>
          </w:p>
        </w:tc>
      </w:tr>
      <w:tr w:rsidR="00DC332F" w:rsidRPr="001B33B0" w14:paraId="7166836C" w14:textId="77777777" w:rsidTr="00DC332F">
        <w:trPr>
          <w:trHeight w:val="288"/>
        </w:trPr>
        <w:tc>
          <w:tcPr>
            <w:tcW w:w="1616" w:type="dxa"/>
            <w:tcBorders>
              <w:top w:val="nil"/>
              <w:left w:val="nil"/>
              <w:bottom w:val="nil"/>
              <w:right w:val="nil"/>
            </w:tcBorders>
            <w:noWrap/>
            <w:vAlign w:val="bottom"/>
            <w:hideMark/>
          </w:tcPr>
          <w:p w14:paraId="43B2AB76"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10.08%</w:t>
            </w:r>
          </w:p>
        </w:tc>
        <w:tc>
          <w:tcPr>
            <w:tcW w:w="1876" w:type="dxa"/>
            <w:tcBorders>
              <w:top w:val="nil"/>
              <w:left w:val="single" w:sz="4" w:space="0" w:color="auto"/>
              <w:bottom w:val="nil"/>
              <w:right w:val="nil"/>
            </w:tcBorders>
            <w:noWrap/>
            <w:vAlign w:val="bottom"/>
            <w:hideMark/>
          </w:tcPr>
          <w:p w14:paraId="3868ABD4"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$223.62</w:t>
            </w:r>
          </w:p>
        </w:tc>
        <w:tc>
          <w:tcPr>
            <w:tcW w:w="964" w:type="dxa"/>
            <w:tcBorders>
              <w:top w:val="nil"/>
              <w:left w:val="nil"/>
              <w:bottom w:val="nil"/>
              <w:right w:val="nil"/>
            </w:tcBorders>
            <w:shd w:val="clear" w:color="000000" w:fill="E4DFEC"/>
            <w:noWrap/>
            <w:vAlign w:val="bottom"/>
            <w:hideMark/>
          </w:tcPr>
          <w:p w14:paraId="2294B551"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$270.71</w:t>
            </w:r>
          </w:p>
        </w:tc>
        <w:tc>
          <w:tcPr>
            <w:tcW w:w="964" w:type="dxa"/>
            <w:tcBorders>
              <w:top w:val="nil"/>
              <w:left w:val="nil"/>
              <w:bottom w:val="nil"/>
              <w:right w:val="nil"/>
            </w:tcBorders>
            <w:shd w:val="clear" w:color="FFFF00" w:fill="B1A0C7"/>
            <w:noWrap/>
            <w:vAlign w:val="bottom"/>
            <w:hideMark/>
          </w:tcPr>
          <w:p w14:paraId="3DFC9AF9"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$317.79</w:t>
            </w:r>
          </w:p>
        </w:tc>
        <w:tc>
          <w:tcPr>
            <w:tcW w:w="964" w:type="dxa"/>
            <w:tcBorders>
              <w:top w:val="nil"/>
              <w:left w:val="nil"/>
              <w:bottom w:val="nil"/>
              <w:right w:val="nil"/>
            </w:tcBorders>
            <w:shd w:val="clear" w:color="000000" w:fill="E4DFEC"/>
            <w:noWrap/>
            <w:vAlign w:val="bottom"/>
            <w:hideMark/>
          </w:tcPr>
          <w:p w14:paraId="1ED2254A"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$364.87</w:t>
            </w:r>
          </w:p>
        </w:tc>
        <w:tc>
          <w:tcPr>
            <w:tcW w:w="964" w:type="dxa"/>
            <w:tcBorders>
              <w:top w:val="nil"/>
              <w:left w:val="nil"/>
              <w:bottom w:val="nil"/>
              <w:right w:val="nil"/>
            </w:tcBorders>
            <w:noWrap/>
            <w:vAlign w:val="bottom"/>
            <w:hideMark/>
          </w:tcPr>
          <w:p w14:paraId="7EED51C2"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$411.95</w:t>
            </w:r>
          </w:p>
        </w:tc>
      </w:tr>
      <w:tr w:rsidR="00DC332F" w:rsidRPr="001B33B0" w14:paraId="6A4A21E5" w14:textId="77777777" w:rsidTr="00DC332F">
        <w:trPr>
          <w:trHeight w:val="288"/>
        </w:trPr>
        <w:tc>
          <w:tcPr>
            <w:tcW w:w="1616" w:type="dxa"/>
            <w:tcBorders>
              <w:top w:val="nil"/>
              <w:left w:val="nil"/>
              <w:bottom w:val="nil"/>
              <w:right w:val="nil"/>
            </w:tcBorders>
            <w:noWrap/>
            <w:vAlign w:val="bottom"/>
            <w:hideMark/>
          </w:tcPr>
          <w:p w14:paraId="04CCC17F"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11.08%</w:t>
            </w:r>
          </w:p>
        </w:tc>
        <w:tc>
          <w:tcPr>
            <w:tcW w:w="1876" w:type="dxa"/>
            <w:tcBorders>
              <w:top w:val="nil"/>
              <w:left w:val="single" w:sz="4" w:space="0" w:color="auto"/>
              <w:bottom w:val="nil"/>
              <w:right w:val="nil"/>
            </w:tcBorders>
            <w:noWrap/>
            <w:vAlign w:val="bottom"/>
            <w:hideMark/>
          </w:tcPr>
          <w:p w14:paraId="3E27D0F8"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$214.52</w:t>
            </w:r>
          </w:p>
        </w:tc>
        <w:tc>
          <w:tcPr>
            <w:tcW w:w="964" w:type="dxa"/>
            <w:tcBorders>
              <w:top w:val="nil"/>
              <w:left w:val="nil"/>
              <w:bottom w:val="nil"/>
              <w:right w:val="nil"/>
            </w:tcBorders>
            <w:shd w:val="clear" w:color="000000" w:fill="E4DFEC"/>
            <w:noWrap/>
            <w:vAlign w:val="bottom"/>
            <w:hideMark/>
          </w:tcPr>
          <w:p w14:paraId="18889DE7"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$259.52</w:t>
            </w:r>
          </w:p>
        </w:tc>
        <w:tc>
          <w:tcPr>
            <w:tcW w:w="964" w:type="dxa"/>
            <w:tcBorders>
              <w:top w:val="nil"/>
              <w:left w:val="nil"/>
              <w:bottom w:val="nil"/>
              <w:right w:val="nil"/>
            </w:tcBorders>
            <w:shd w:val="clear" w:color="000000" w:fill="E4DFEC"/>
            <w:noWrap/>
            <w:vAlign w:val="bottom"/>
            <w:hideMark/>
          </w:tcPr>
          <w:p w14:paraId="4C1E584C"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$304.52</w:t>
            </w:r>
          </w:p>
        </w:tc>
        <w:tc>
          <w:tcPr>
            <w:tcW w:w="964" w:type="dxa"/>
            <w:tcBorders>
              <w:top w:val="nil"/>
              <w:left w:val="nil"/>
              <w:bottom w:val="nil"/>
              <w:right w:val="nil"/>
            </w:tcBorders>
            <w:shd w:val="clear" w:color="000000" w:fill="E4DFEC"/>
            <w:noWrap/>
            <w:vAlign w:val="bottom"/>
            <w:hideMark/>
          </w:tcPr>
          <w:p w14:paraId="432E29FC"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$349.52</w:t>
            </w:r>
          </w:p>
        </w:tc>
        <w:tc>
          <w:tcPr>
            <w:tcW w:w="964" w:type="dxa"/>
            <w:tcBorders>
              <w:top w:val="nil"/>
              <w:left w:val="nil"/>
              <w:bottom w:val="nil"/>
              <w:right w:val="nil"/>
            </w:tcBorders>
            <w:noWrap/>
            <w:vAlign w:val="bottom"/>
            <w:hideMark/>
          </w:tcPr>
          <w:p w14:paraId="5D0D823C"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$394.52</w:t>
            </w:r>
          </w:p>
        </w:tc>
      </w:tr>
      <w:tr w:rsidR="00DC332F" w:rsidRPr="001B33B0" w14:paraId="7A3E8116" w14:textId="77777777" w:rsidTr="00DC332F">
        <w:trPr>
          <w:trHeight w:val="288"/>
        </w:trPr>
        <w:tc>
          <w:tcPr>
            <w:tcW w:w="1616" w:type="dxa"/>
            <w:tcBorders>
              <w:top w:val="nil"/>
              <w:left w:val="nil"/>
              <w:bottom w:val="nil"/>
              <w:right w:val="nil"/>
            </w:tcBorders>
            <w:noWrap/>
            <w:vAlign w:val="bottom"/>
            <w:hideMark/>
          </w:tcPr>
          <w:p w14:paraId="39032FD3"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12.08%</w:t>
            </w:r>
          </w:p>
        </w:tc>
        <w:tc>
          <w:tcPr>
            <w:tcW w:w="1876" w:type="dxa"/>
            <w:tcBorders>
              <w:top w:val="nil"/>
              <w:left w:val="single" w:sz="4" w:space="0" w:color="auto"/>
              <w:bottom w:val="nil"/>
              <w:right w:val="nil"/>
            </w:tcBorders>
            <w:noWrap/>
            <w:vAlign w:val="bottom"/>
            <w:hideMark/>
          </w:tcPr>
          <w:p w14:paraId="4A4E7F21"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$205.89</w:t>
            </w:r>
          </w:p>
        </w:tc>
        <w:tc>
          <w:tcPr>
            <w:tcW w:w="964" w:type="dxa"/>
            <w:tcBorders>
              <w:top w:val="nil"/>
              <w:left w:val="nil"/>
              <w:bottom w:val="nil"/>
              <w:right w:val="nil"/>
            </w:tcBorders>
            <w:noWrap/>
            <w:vAlign w:val="bottom"/>
            <w:hideMark/>
          </w:tcPr>
          <w:p w14:paraId="406FE7C9"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$248.92</w:t>
            </w:r>
          </w:p>
        </w:tc>
        <w:tc>
          <w:tcPr>
            <w:tcW w:w="964" w:type="dxa"/>
            <w:tcBorders>
              <w:top w:val="nil"/>
              <w:left w:val="nil"/>
              <w:bottom w:val="nil"/>
              <w:right w:val="nil"/>
            </w:tcBorders>
            <w:noWrap/>
            <w:vAlign w:val="bottom"/>
            <w:hideMark/>
          </w:tcPr>
          <w:p w14:paraId="201BD8D9"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$291.95</w:t>
            </w:r>
          </w:p>
        </w:tc>
        <w:tc>
          <w:tcPr>
            <w:tcW w:w="964" w:type="dxa"/>
            <w:tcBorders>
              <w:top w:val="nil"/>
              <w:left w:val="nil"/>
              <w:bottom w:val="nil"/>
              <w:right w:val="nil"/>
            </w:tcBorders>
            <w:noWrap/>
            <w:vAlign w:val="bottom"/>
            <w:hideMark/>
          </w:tcPr>
          <w:p w14:paraId="675AB39A"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$334.97</w:t>
            </w:r>
          </w:p>
        </w:tc>
        <w:tc>
          <w:tcPr>
            <w:tcW w:w="964" w:type="dxa"/>
            <w:tcBorders>
              <w:top w:val="nil"/>
              <w:left w:val="nil"/>
              <w:bottom w:val="nil"/>
              <w:right w:val="nil"/>
            </w:tcBorders>
            <w:noWrap/>
            <w:vAlign w:val="bottom"/>
            <w:hideMark/>
          </w:tcPr>
          <w:p w14:paraId="1DA912AF"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$378.00</w:t>
            </w:r>
          </w:p>
        </w:tc>
      </w:tr>
      <w:tr w:rsidR="00DC332F" w:rsidRPr="001B33B0" w14:paraId="7BC7E20E" w14:textId="77777777" w:rsidTr="00DC332F">
        <w:trPr>
          <w:trHeight w:val="288"/>
        </w:trPr>
        <w:tc>
          <w:tcPr>
            <w:tcW w:w="1616" w:type="dxa"/>
            <w:tcBorders>
              <w:top w:val="nil"/>
              <w:left w:val="nil"/>
              <w:bottom w:val="nil"/>
              <w:right w:val="nil"/>
            </w:tcBorders>
            <w:noWrap/>
            <w:vAlign w:val="bottom"/>
            <w:hideMark/>
          </w:tcPr>
          <w:p w14:paraId="4AEB2E11" w14:textId="77777777" w:rsidR="00DC332F" w:rsidRPr="001B33B0" w:rsidRDefault="00DC332F" w:rsidP="00DC332F">
            <w:pPr>
              <w:spacing w:after="0" w:line="240" w:lineRule="auto"/>
              <w:jc w:val="right"/>
              <w:rPr>
                <w:rFonts w:eastAsia="Times New Roman" w:cs="Arial"/>
                <w:color w:val="000000"/>
                <w:sz w:val="20"/>
                <w:szCs w:val="20"/>
              </w:rPr>
            </w:pPr>
          </w:p>
        </w:tc>
        <w:tc>
          <w:tcPr>
            <w:tcW w:w="1876" w:type="dxa"/>
            <w:tcBorders>
              <w:top w:val="nil"/>
              <w:left w:val="nil"/>
              <w:bottom w:val="nil"/>
              <w:right w:val="nil"/>
            </w:tcBorders>
            <w:noWrap/>
            <w:vAlign w:val="bottom"/>
            <w:hideMark/>
          </w:tcPr>
          <w:p w14:paraId="3B530C6E" w14:textId="77777777" w:rsidR="00DC332F" w:rsidRPr="001B33B0" w:rsidRDefault="00DC332F" w:rsidP="00DC332F">
            <w:pPr>
              <w:spacing w:after="0" w:line="240" w:lineRule="auto"/>
              <w:rPr>
                <w:rFonts w:ascii="Times New Roman" w:eastAsia="Times New Roman" w:hAnsi="Times New Roman" w:cs="Times New Roman"/>
                <w:sz w:val="20"/>
                <w:szCs w:val="20"/>
              </w:rPr>
            </w:pPr>
          </w:p>
        </w:tc>
        <w:tc>
          <w:tcPr>
            <w:tcW w:w="964" w:type="dxa"/>
            <w:tcBorders>
              <w:top w:val="nil"/>
              <w:left w:val="nil"/>
              <w:bottom w:val="nil"/>
              <w:right w:val="nil"/>
            </w:tcBorders>
            <w:noWrap/>
            <w:vAlign w:val="bottom"/>
            <w:hideMark/>
          </w:tcPr>
          <w:p w14:paraId="7C10B205" w14:textId="77777777" w:rsidR="00DC332F" w:rsidRPr="001B33B0" w:rsidRDefault="00DC332F" w:rsidP="00DC332F">
            <w:pPr>
              <w:spacing w:after="0" w:line="240" w:lineRule="auto"/>
              <w:rPr>
                <w:rFonts w:ascii="Times New Roman" w:eastAsia="Times New Roman" w:hAnsi="Times New Roman" w:cs="Times New Roman"/>
                <w:sz w:val="20"/>
                <w:szCs w:val="20"/>
              </w:rPr>
            </w:pPr>
          </w:p>
        </w:tc>
        <w:tc>
          <w:tcPr>
            <w:tcW w:w="964" w:type="dxa"/>
            <w:tcBorders>
              <w:top w:val="nil"/>
              <w:left w:val="nil"/>
              <w:bottom w:val="nil"/>
              <w:right w:val="nil"/>
            </w:tcBorders>
            <w:noWrap/>
            <w:vAlign w:val="bottom"/>
            <w:hideMark/>
          </w:tcPr>
          <w:p w14:paraId="278A76C2" w14:textId="77777777" w:rsidR="00DC332F" w:rsidRPr="001B33B0" w:rsidRDefault="00DC332F" w:rsidP="00DC332F">
            <w:pPr>
              <w:spacing w:after="0" w:line="240" w:lineRule="auto"/>
              <w:rPr>
                <w:rFonts w:ascii="Times New Roman" w:eastAsia="Times New Roman" w:hAnsi="Times New Roman" w:cs="Times New Roman"/>
                <w:sz w:val="20"/>
                <w:szCs w:val="20"/>
              </w:rPr>
            </w:pPr>
          </w:p>
        </w:tc>
        <w:tc>
          <w:tcPr>
            <w:tcW w:w="964" w:type="dxa"/>
            <w:tcBorders>
              <w:top w:val="nil"/>
              <w:left w:val="nil"/>
              <w:bottom w:val="nil"/>
              <w:right w:val="nil"/>
            </w:tcBorders>
            <w:noWrap/>
            <w:vAlign w:val="bottom"/>
            <w:hideMark/>
          </w:tcPr>
          <w:p w14:paraId="05FABD95" w14:textId="77777777" w:rsidR="00DC332F" w:rsidRPr="001B33B0" w:rsidRDefault="00DC332F" w:rsidP="00DC332F">
            <w:pPr>
              <w:spacing w:after="0" w:line="240" w:lineRule="auto"/>
              <w:rPr>
                <w:rFonts w:ascii="Times New Roman" w:eastAsia="Times New Roman" w:hAnsi="Times New Roman" w:cs="Times New Roman"/>
                <w:sz w:val="20"/>
                <w:szCs w:val="20"/>
              </w:rPr>
            </w:pPr>
          </w:p>
        </w:tc>
        <w:tc>
          <w:tcPr>
            <w:tcW w:w="964" w:type="dxa"/>
            <w:tcBorders>
              <w:top w:val="nil"/>
              <w:left w:val="nil"/>
              <w:bottom w:val="nil"/>
              <w:right w:val="nil"/>
            </w:tcBorders>
            <w:noWrap/>
            <w:vAlign w:val="bottom"/>
            <w:hideMark/>
          </w:tcPr>
          <w:p w14:paraId="7F47AD14" w14:textId="77777777" w:rsidR="00DC332F" w:rsidRPr="001B33B0" w:rsidRDefault="00DC332F" w:rsidP="00DC332F">
            <w:pPr>
              <w:spacing w:after="0" w:line="240" w:lineRule="auto"/>
              <w:rPr>
                <w:rFonts w:ascii="Times New Roman" w:eastAsia="Times New Roman" w:hAnsi="Times New Roman" w:cs="Times New Roman"/>
                <w:sz w:val="20"/>
                <w:szCs w:val="20"/>
              </w:rPr>
            </w:pPr>
          </w:p>
        </w:tc>
      </w:tr>
      <w:tr w:rsidR="00DC332F" w:rsidRPr="001B33B0" w14:paraId="6E2B3CAE" w14:textId="77777777" w:rsidTr="00DC332F">
        <w:trPr>
          <w:trHeight w:val="288"/>
        </w:trPr>
        <w:tc>
          <w:tcPr>
            <w:tcW w:w="1616" w:type="dxa"/>
            <w:tcBorders>
              <w:top w:val="nil"/>
              <w:left w:val="nil"/>
              <w:bottom w:val="nil"/>
              <w:right w:val="nil"/>
            </w:tcBorders>
            <w:noWrap/>
            <w:vAlign w:val="bottom"/>
            <w:hideMark/>
          </w:tcPr>
          <w:p w14:paraId="3E3834CA" w14:textId="77777777" w:rsidR="00DC332F" w:rsidRPr="001B33B0" w:rsidRDefault="00DC332F" w:rsidP="00DC332F">
            <w:pPr>
              <w:spacing w:after="0" w:line="240" w:lineRule="auto"/>
              <w:rPr>
                <w:rFonts w:ascii="Times New Roman" w:eastAsia="Times New Roman" w:hAnsi="Times New Roman" w:cs="Times New Roman"/>
                <w:sz w:val="20"/>
                <w:szCs w:val="20"/>
              </w:rPr>
            </w:pPr>
          </w:p>
        </w:tc>
        <w:tc>
          <w:tcPr>
            <w:tcW w:w="1876" w:type="dxa"/>
            <w:tcBorders>
              <w:top w:val="nil"/>
              <w:left w:val="nil"/>
              <w:bottom w:val="nil"/>
              <w:right w:val="nil"/>
            </w:tcBorders>
            <w:noWrap/>
            <w:vAlign w:val="bottom"/>
            <w:hideMark/>
          </w:tcPr>
          <w:p w14:paraId="0D4DED0C" w14:textId="77777777" w:rsidR="00DC332F" w:rsidRPr="001B33B0" w:rsidRDefault="00DC332F" w:rsidP="00DC332F">
            <w:pPr>
              <w:spacing w:after="0" w:line="240" w:lineRule="auto"/>
              <w:rPr>
                <w:rFonts w:ascii="Times New Roman" w:eastAsia="Times New Roman" w:hAnsi="Times New Roman" w:cs="Times New Roman"/>
                <w:sz w:val="20"/>
                <w:szCs w:val="20"/>
              </w:rPr>
            </w:pPr>
          </w:p>
        </w:tc>
        <w:tc>
          <w:tcPr>
            <w:tcW w:w="964" w:type="dxa"/>
            <w:tcBorders>
              <w:top w:val="nil"/>
              <w:left w:val="nil"/>
              <w:bottom w:val="nil"/>
              <w:right w:val="nil"/>
            </w:tcBorders>
            <w:noWrap/>
            <w:vAlign w:val="bottom"/>
            <w:hideMark/>
          </w:tcPr>
          <w:p w14:paraId="018B99AA" w14:textId="77777777" w:rsidR="00DC332F" w:rsidRPr="001B33B0" w:rsidRDefault="00DC332F" w:rsidP="00DC332F">
            <w:pPr>
              <w:spacing w:after="0" w:line="240" w:lineRule="auto"/>
              <w:rPr>
                <w:rFonts w:ascii="Times New Roman" w:eastAsia="Times New Roman" w:hAnsi="Times New Roman" w:cs="Times New Roman"/>
                <w:sz w:val="20"/>
                <w:szCs w:val="20"/>
              </w:rPr>
            </w:pPr>
          </w:p>
        </w:tc>
        <w:tc>
          <w:tcPr>
            <w:tcW w:w="964" w:type="dxa"/>
            <w:tcBorders>
              <w:top w:val="nil"/>
              <w:left w:val="nil"/>
              <w:bottom w:val="nil"/>
              <w:right w:val="nil"/>
            </w:tcBorders>
            <w:noWrap/>
            <w:vAlign w:val="bottom"/>
            <w:hideMark/>
          </w:tcPr>
          <w:p w14:paraId="6392B9FD" w14:textId="77777777" w:rsidR="00DC332F" w:rsidRPr="001B33B0" w:rsidRDefault="00DC332F" w:rsidP="00DC332F">
            <w:pPr>
              <w:spacing w:after="0" w:line="240" w:lineRule="auto"/>
              <w:rPr>
                <w:rFonts w:ascii="Times New Roman" w:eastAsia="Times New Roman" w:hAnsi="Times New Roman" w:cs="Times New Roman"/>
                <w:sz w:val="20"/>
                <w:szCs w:val="20"/>
              </w:rPr>
            </w:pPr>
          </w:p>
        </w:tc>
        <w:tc>
          <w:tcPr>
            <w:tcW w:w="964" w:type="dxa"/>
            <w:tcBorders>
              <w:top w:val="nil"/>
              <w:left w:val="nil"/>
              <w:bottom w:val="nil"/>
              <w:right w:val="nil"/>
            </w:tcBorders>
            <w:noWrap/>
            <w:vAlign w:val="bottom"/>
            <w:hideMark/>
          </w:tcPr>
          <w:p w14:paraId="0EF617B3" w14:textId="77777777" w:rsidR="00DC332F" w:rsidRPr="001B33B0" w:rsidRDefault="00DC332F" w:rsidP="00DC332F">
            <w:pPr>
              <w:spacing w:after="0" w:line="240" w:lineRule="auto"/>
              <w:rPr>
                <w:rFonts w:ascii="Times New Roman" w:eastAsia="Times New Roman" w:hAnsi="Times New Roman" w:cs="Times New Roman"/>
                <w:sz w:val="20"/>
                <w:szCs w:val="20"/>
              </w:rPr>
            </w:pPr>
          </w:p>
        </w:tc>
        <w:tc>
          <w:tcPr>
            <w:tcW w:w="964" w:type="dxa"/>
            <w:tcBorders>
              <w:top w:val="nil"/>
              <w:left w:val="nil"/>
              <w:bottom w:val="nil"/>
              <w:right w:val="nil"/>
            </w:tcBorders>
            <w:noWrap/>
            <w:vAlign w:val="bottom"/>
            <w:hideMark/>
          </w:tcPr>
          <w:p w14:paraId="11F7E57A" w14:textId="77777777" w:rsidR="00DC332F" w:rsidRPr="001B33B0" w:rsidRDefault="00DC332F" w:rsidP="00DC332F">
            <w:pPr>
              <w:spacing w:after="0" w:line="240" w:lineRule="auto"/>
              <w:rPr>
                <w:rFonts w:ascii="Times New Roman" w:eastAsia="Times New Roman" w:hAnsi="Times New Roman" w:cs="Times New Roman"/>
                <w:sz w:val="20"/>
                <w:szCs w:val="20"/>
              </w:rPr>
            </w:pPr>
          </w:p>
        </w:tc>
      </w:tr>
      <w:tr w:rsidR="00DC332F" w:rsidRPr="001B33B0" w14:paraId="69D92367" w14:textId="77777777" w:rsidTr="00DC332F">
        <w:trPr>
          <w:trHeight w:val="68"/>
        </w:trPr>
        <w:tc>
          <w:tcPr>
            <w:tcW w:w="1616" w:type="dxa"/>
            <w:tcBorders>
              <w:top w:val="nil"/>
              <w:left w:val="nil"/>
              <w:bottom w:val="nil"/>
              <w:right w:val="nil"/>
            </w:tcBorders>
            <w:noWrap/>
            <w:vAlign w:val="bottom"/>
            <w:hideMark/>
          </w:tcPr>
          <w:p w14:paraId="0BC3C45E" w14:textId="77777777" w:rsidR="00DC332F" w:rsidRPr="001B33B0" w:rsidRDefault="00DC332F" w:rsidP="00DC332F">
            <w:pPr>
              <w:spacing w:after="0" w:line="240" w:lineRule="auto"/>
              <w:rPr>
                <w:rFonts w:ascii="Times New Roman" w:eastAsia="Times New Roman" w:hAnsi="Times New Roman" w:cs="Times New Roman"/>
                <w:sz w:val="20"/>
                <w:szCs w:val="20"/>
              </w:rPr>
            </w:pPr>
          </w:p>
        </w:tc>
        <w:tc>
          <w:tcPr>
            <w:tcW w:w="1876" w:type="dxa"/>
            <w:tcBorders>
              <w:top w:val="nil"/>
              <w:left w:val="nil"/>
              <w:bottom w:val="nil"/>
              <w:right w:val="nil"/>
            </w:tcBorders>
            <w:noWrap/>
            <w:vAlign w:val="bottom"/>
            <w:hideMark/>
          </w:tcPr>
          <w:p w14:paraId="70510603" w14:textId="77777777" w:rsidR="00DC332F" w:rsidRPr="001B33B0" w:rsidRDefault="00DC332F" w:rsidP="00DC332F">
            <w:pPr>
              <w:spacing w:after="0" w:line="240" w:lineRule="auto"/>
              <w:rPr>
                <w:rFonts w:ascii="Times New Roman" w:eastAsia="Times New Roman" w:hAnsi="Times New Roman" w:cs="Times New Roman"/>
                <w:sz w:val="20"/>
                <w:szCs w:val="20"/>
              </w:rPr>
            </w:pPr>
          </w:p>
        </w:tc>
        <w:tc>
          <w:tcPr>
            <w:tcW w:w="3856" w:type="dxa"/>
            <w:gridSpan w:val="4"/>
            <w:tcBorders>
              <w:top w:val="nil"/>
              <w:left w:val="nil"/>
              <w:bottom w:val="nil"/>
              <w:right w:val="nil"/>
            </w:tcBorders>
            <w:noWrap/>
            <w:vAlign w:val="bottom"/>
            <w:hideMark/>
          </w:tcPr>
          <w:p w14:paraId="6F60A64F" w14:textId="77777777" w:rsidR="00DC332F" w:rsidRPr="001B33B0" w:rsidRDefault="00DC332F" w:rsidP="00DC332F">
            <w:pPr>
              <w:spacing w:after="0" w:line="240" w:lineRule="auto"/>
              <w:rPr>
                <w:rFonts w:eastAsia="Times New Roman" w:cs="Arial"/>
                <w:b/>
                <w:bCs/>
                <w:color w:val="8064A2"/>
                <w:sz w:val="20"/>
                <w:szCs w:val="20"/>
              </w:rPr>
            </w:pPr>
            <w:r w:rsidRPr="001B33B0">
              <w:rPr>
                <w:rFonts w:eastAsia="Times New Roman" w:cs="Arial"/>
                <w:b/>
                <w:bCs/>
                <w:color w:val="8064A2"/>
                <w:sz w:val="20"/>
                <w:szCs w:val="20"/>
              </w:rPr>
              <w:t>Perpetuity Method</w:t>
            </w:r>
          </w:p>
        </w:tc>
      </w:tr>
      <w:tr w:rsidR="00DC332F" w:rsidRPr="001B33B0" w14:paraId="1B7EBB33" w14:textId="77777777" w:rsidTr="00DC332F">
        <w:trPr>
          <w:trHeight w:val="288"/>
        </w:trPr>
        <w:tc>
          <w:tcPr>
            <w:tcW w:w="1616" w:type="dxa"/>
            <w:tcBorders>
              <w:top w:val="nil"/>
              <w:left w:val="nil"/>
              <w:bottom w:val="nil"/>
              <w:right w:val="nil"/>
            </w:tcBorders>
            <w:noWrap/>
            <w:vAlign w:val="bottom"/>
            <w:hideMark/>
          </w:tcPr>
          <w:p w14:paraId="4A300640" w14:textId="77777777" w:rsidR="00DC332F" w:rsidRPr="001B33B0" w:rsidRDefault="00DC332F" w:rsidP="00DC332F">
            <w:pPr>
              <w:spacing w:after="0" w:line="240" w:lineRule="auto"/>
              <w:jc w:val="right"/>
              <w:rPr>
                <w:rFonts w:eastAsia="Times New Roman" w:cs="Arial"/>
                <w:b/>
                <w:bCs/>
                <w:color w:val="000000"/>
                <w:sz w:val="20"/>
                <w:szCs w:val="20"/>
              </w:rPr>
            </w:pPr>
            <w:r w:rsidRPr="001B33B0">
              <w:rPr>
                <w:rFonts w:eastAsia="Times New Roman" w:cs="Arial"/>
                <w:b/>
                <w:bCs/>
                <w:color w:val="000000"/>
                <w:sz w:val="20"/>
                <w:szCs w:val="20"/>
              </w:rPr>
              <w:t>$147.41</w:t>
            </w:r>
          </w:p>
        </w:tc>
        <w:tc>
          <w:tcPr>
            <w:tcW w:w="1876" w:type="dxa"/>
            <w:tcBorders>
              <w:top w:val="nil"/>
              <w:left w:val="nil"/>
              <w:bottom w:val="nil"/>
              <w:right w:val="nil"/>
            </w:tcBorders>
            <w:noWrap/>
            <w:vAlign w:val="bottom"/>
            <w:hideMark/>
          </w:tcPr>
          <w:p w14:paraId="2F6CAB4E"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2.0%</w:t>
            </w:r>
          </w:p>
        </w:tc>
        <w:tc>
          <w:tcPr>
            <w:tcW w:w="964" w:type="dxa"/>
            <w:tcBorders>
              <w:top w:val="nil"/>
              <w:left w:val="nil"/>
              <w:bottom w:val="nil"/>
              <w:right w:val="nil"/>
            </w:tcBorders>
            <w:noWrap/>
            <w:vAlign w:val="bottom"/>
            <w:hideMark/>
          </w:tcPr>
          <w:p w14:paraId="76F491F2"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2.5%</w:t>
            </w:r>
          </w:p>
        </w:tc>
        <w:tc>
          <w:tcPr>
            <w:tcW w:w="964" w:type="dxa"/>
            <w:tcBorders>
              <w:top w:val="nil"/>
              <w:left w:val="nil"/>
              <w:bottom w:val="nil"/>
              <w:right w:val="nil"/>
            </w:tcBorders>
            <w:noWrap/>
            <w:vAlign w:val="bottom"/>
            <w:hideMark/>
          </w:tcPr>
          <w:p w14:paraId="1F8FDD1D"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3.0%</w:t>
            </w:r>
          </w:p>
        </w:tc>
        <w:tc>
          <w:tcPr>
            <w:tcW w:w="964" w:type="dxa"/>
            <w:tcBorders>
              <w:top w:val="nil"/>
              <w:left w:val="nil"/>
              <w:bottom w:val="nil"/>
              <w:right w:val="nil"/>
            </w:tcBorders>
            <w:noWrap/>
            <w:vAlign w:val="bottom"/>
            <w:hideMark/>
          </w:tcPr>
          <w:p w14:paraId="6D226019"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3.5%</w:t>
            </w:r>
          </w:p>
        </w:tc>
        <w:tc>
          <w:tcPr>
            <w:tcW w:w="964" w:type="dxa"/>
            <w:tcBorders>
              <w:top w:val="nil"/>
              <w:left w:val="nil"/>
              <w:bottom w:val="nil"/>
              <w:right w:val="nil"/>
            </w:tcBorders>
            <w:noWrap/>
            <w:vAlign w:val="bottom"/>
            <w:hideMark/>
          </w:tcPr>
          <w:p w14:paraId="5ACD929F"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4.0%</w:t>
            </w:r>
          </w:p>
        </w:tc>
      </w:tr>
      <w:tr w:rsidR="00DC332F" w:rsidRPr="001B33B0" w14:paraId="3FF3EF17" w14:textId="77777777" w:rsidTr="00DC332F">
        <w:trPr>
          <w:trHeight w:val="288"/>
        </w:trPr>
        <w:tc>
          <w:tcPr>
            <w:tcW w:w="1616" w:type="dxa"/>
            <w:tcBorders>
              <w:top w:val="nil"/>
              <w:left w:val="nil"/>
              <w:bottom w:val="nil"/>
              <w:right w:val="nil"/>
            </w:tcBorders>
            <w:noWrap/>
            <w:vAlign w:val="bottom"/>
            <w:hideMark/>
          </w:tcPr>
          <w:p w14:paraId="67E05A68"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8.08%</w:t>
            </w:r>
          </w:p>
        </w:tc>
        <w:tc>
          <w:tcPr>
            <w:tcW w:w="1876" w:type="dxa"/>
            <w:tcBorders>
              <w:top w:val="single" w:sz="4" w:space="0" w:color="auto"/>
              <w:left w:val="single" w:sz="4" w:space="0" w:color="auto"/>
              <w:bottom w:val="nil"/>
              <w:right w:val="nil"/>
            </w:tcBorders>
            <w:noWrap/>
            <w:vAlign w:val="bottom"/>
            <w:hideMark/>
          </w:tcPr>
          <w:p w14:paraId="24F9418B"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$177.65</w:t>
            </w:r>
          </w:p>
        </w:tc>
        <w:tc>
          <w:tcPr>
            <w:tcW w:w="964" w:type="dxa"/>
            <w:tcBorders>
              <w:top w:val="single" w:sz="4" w:space="0" w:color="auto"/>
              <w:left w:val="nil"/>
              <w:bottom w:val="nil"/>
              <w:right w:val="nil"/>
            </w:tcBorders>
            <w:noWrap/>
            <w:vAlign w:val="bottom"/>
            <w:hideMark/>
          </w:tcPr>
          <w:p w14:paraId="09542B58"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$190.40</w:t>
            </w:r>
          </w:p>
        </w:tc>
        <w:tc>
          <w:tcPr>
            <w:tcW w:w="964" w:type="dxa"/>
            <w:tcBorders>
              <w:top w:val="single" w:sz="4" w:space="0" w:color="auto"/>
              <w:left w:val="nil"/>
              <w:bottom w:val="nil"/>
              <w:right w:val="nil"/>
            </w:tcBorders>
            <w:noWrap/>
            <w:vAlign w:val="bottom"/>
            <w:hideMark/>
          </w:tcPr>
          <w:p w14:paraId="7D0F8B22"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$205.66</w:t>
            </w:r>
          </w:p>
        </w:tc>
        <w:tc>
          <w:tcPr>
            <w:tcW w:w="964" w:type="dxa"/>
            <w:tcBorders>
              <w:top w:val="single" w:sz="4" w:space="0" w:color="auto"/>
              <w:left w:val="nil"/>
              <w:bottom w:val="nil"/>
              <w:right w:val="nil"/>
            </w:tcBorders>
            <w:noWrap/>
            <w:vAlign w:val="bottom"/>
            <w:hideMark/>
          </w:tcPr>
          <w:p w14:paraId="58599215"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$224.25</w:t>
            </w:r>
          </w:p>
        </w:tc>
        <w:tc>
          <w:tcPr>
            <w:tcW w:w="964" w:type="dxa"/>
            <w:tcBorders>
              <w:top w:val="single" w:sz="4" w:space="0" w:color="auto"/>
              <w:left w:val="nil"/>
              <w:bottom w:val="nil"/>
              <w:right w:val="nil"/>
            </w:tcBorders>
            <w:noWrap/>
            <w:vAlign w:val="bottom"/>
            <w:hideMark/>
          </w:tcPr>
          <w:p w14:paraId="7F461DD8"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$247.40</w:t>
            </w:r>
          </w:p>
        </w:tc>
      </w:tr>
      <w:tr w:rsidR="00DC332F" w:rsidRPr="001B33B0" w14:paraId="3FF5F26A" w14:textId="77777777" w:rsidTr="00DC332F">
        <w:trPr>
          <w:trHeight w:val="288"/>
        </w:trPr>
        <w:tc>
          <w:tcPr>
            <w:tcW w:w="1616" w:type="dxa"/>
            <w:tcBorders>
              <w:top w:val="nil"/>
              <w:left w:val="nil"/>
              <w:bottom w:val="nil"/>
              <w:right w:val="nil"/>
            </w:tcBorders>
            <w:noWrap/>
            <w:vAlign w:val="bottom"/>
            <w:hideMark/>
          </w:tcPr>
          <w:p w14:paraId="0C281682"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9.08%</w:t>
            </w:r>
          </w:p>
        </w:tc>
        <w:tc>
          <w:tcPr>
            <w:tcW w:w="1876" w:type="dxa"/>
            <w:tcBorders>
              <w:top w:val="nil"/>
              <w:left w:val="single" w:sz="4" w:space="0" w:color="auto"/>
              <w:bottom w:val="nil"/>
              <w:right w:val="nil"/>
            </w:tcBorders>
            <w:noWrap/>
            <w:vAlign w:val="bottom"/>
            <w:hideMark/>
          </w:tcPr>
          <w:p w14:paraId="78F421D6"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$152.37</w:t>
            </w:r>
          </w:p>
        </w:tc>
        <w:tc>
          <w:tcPr>
            <w:tcW w:w="964" w:type="dxa"/>
            <w:tcBorders>
              <w:top w:val="nil"/>
              <w:left w:val="nil"/>
              <w:bottom w:val="nil"/>
              <w:right w:val="nil"/>
            </w:tcBorders>
            <w:shd w:val="clear" w:color="000000" w:fill="E4DFEC"/>
            <w:noWrap/>
            <w:vAlign w:val="bottom"/>
            <w:hideMark/>
          </w:tcPr>
          <w:p w14:paraId="48C2F9D1"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$161.31</w:t>
            </w:r>
          </w:p>
        </w:tc>
        <w:tc>
          <w:tcPr>
            <w:tcW w:w="964" w:type="dxa"/>
            <w:tcBorders>
              <w:top w:val="nil"/>
              <w:left w:val="nil"/>
              <w:bottom w:val="nil"/>
              <w:right w:val="nil"/>
            </w:tcBorders>
            <w:shd w:val="clear" w:color="000000" w:fill="E4DFEC"/>
            <w:noWrap/>
            <w:vAlign w:val="bottom"/>
            <w:hideMark/>
          </w:tcPr>
          <w:p w14:paraId="7AF69021"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$171.74</w:t>
            </w:r>
          </w:p>
        </w:tc>
        <w:tc>
          <w:tcPr>
            <w:tcW w:w="964" w:type="dxa"/>
            <w:tcBorders>
              <w:top w:val="nil"/>
              <w:left w:val="nil"/>
              <w:bottom w:val="nil"/>
              <w:right w:val="nil"/>
            </w:tcBorders>
            <w:shd w:val="clear" w:color="000000" w:fill="E4DFEC"/>
            <w:noWrap/>
            <w:vAlign w:val="bottom"/>
            <w:hideMark/>
          </w:tcPr>
          <w:p w14:paraId="60042D95"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$184.02</w:t>
            </w:r>
          </w:p>
        </w:tc>
        <w:tc>
          <w:tcPr>
            <w:tcW w:w="964" w:type="dxa"/>
            <w:tcBorders>
              <w:top w:val="nil"/>
              <w:left w:val="nil"/>
              <w:bottom w:val="nil"/>
              <w:right w:val="nil"/>
            </w:tcBorders>
            <w:noWrap/>
            <w:vAlign w:val="bottom"/>
            <w:hideMark/>
          </w:tcPr>
          <w:p w14:paraId="1B55A70A"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$198.73</w:t>
            </w:r>
          </w:p>
        </w:tc>
      </w:tr>
      <w:tr w:rsidR="00DC332F" w:rsidRPr="001B33B0" w14:paraId="783E17DC" w14:textId="77777777" w:rsidTr="00DC332F">
        <w:trPr>
          <w:trHeight w:val="288"/>
        </w:trPr>
        <w:tc>
          <w:tcPr>
            <w:tcW w:w="1616" w:type="dxa"/>
            <w:tcBorders>
              <w:top w:val="nil"/>
              <w:left w:val="nil"/>
              <w:bottom w:val="nil"/>
              <w:right w:val="nil"/>
            </w:tcBorders>
            <w:noWrap/>
            <w:vAlign w:val="bottom"/>
            <w:hideMark/>
          </w:tcPr>
          <w:p w14:paraId="5961A6CC"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10.08%</w:t>
            </w:r>
          </w:p>
        </w:tc>
        <w:tc>
          <w:tcPr>
            <w:tcW w:w="1876" w:type="dxa"/>
            <w:tcBorders>
              <w:top w:val="nil"/>
              <w:left w:val="single" w:sz="4" w:space="0" w:color="auto"/>
              <w:bottom w:val="nil"/>
              <w:right w:val="nil"/>
            </w:tcBorders>
            <w:noWrap/>
            <w:vAlign w:val="bottom"/>
            <w:hideMark/>
          </w:tcPr>
          <w:p w14:paraId="1248B53B"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$133.35</w:t>
            </w:r>
          </w:p>
        </w:tc>
        <w:tc>
          <w:tcPr>
            <w:tcW w:w="964" w:type="dxa"/>
            <w:tcBorders>
              <w:top w:val="nil"/>
              <w:left w:val="nil"/>
              <w:bottom w:val="nil"/>
              <w:right w:val="nil"/>
            </w:tcBorders>
            <w:shd w:val="clear" w:color="000000" w:fill="E4DFEC"/>
            <w:noWrap/>
            <w:vAlign w:val="bottom"/>
            <w:hideMark/>
          </w:tcPr>
          <w:p w14:paraId="0A5D591A"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$139.92</w:t>
            </w:r>
          </w:p>
        </w:tc>
        <w:tc>
          <w:tcPr>
            <w:tcW w:w="964" w:type="dxa"/>
            <w:tcBorders>
              <w:top w:val="nil"/>
              <w:left w:val="nil"/>
              <w:bottom w:val="nil"/>
              <w:right w:val="nil"/>
            </w:tcBorders>
            <w:shd w:val="clear" w:color="FFFF00" w:fill="B1A0C7"/>
            <w:noWrap/>
            <w:vAlign w:val="bottom"/>
            <w:hideMark/>
          </w:tcPr>
          <w:p w14:paraId="3A2FE48E"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$147.41</w:t>
            </w:r>
          </w:p>
        </w:tc>
        <w:tc>
          <w:tcPr>
            <w:tcW w:w="964" w:type="dxa"/>
            <w:tcBorders>
              <w:top w:val="nil"/>
              <w:left w:val="nil"/>
              <w:bottom w:val="nil"/>
              <w:right w:val="nil"/>
            </w:tcBorders>
            <w:shd w:val="clear" w:color="000000" w:fill="E4DFEC"/>
            <w:noWrap/>
            <w:vAlign w:val="bottom"/>
            <w:hideMark/>
          </w:tcPr>
          <w:p w14:paraId="5A5FF892"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$156.04</w:t>
            </w:r>
          </w:p>
        </w:tc>
        <w:tc>
          <w:tcPr>
            <w:tcW w:w="964" w:type="dxa"/>
            <w:tcBorders>
              <w:top w:val="nil"/>
              <w:left w:val="nil"/>
              <w:bottom w:val="nil"/>
              <w:right w:val="nil"/>
            </w:tcBorders>
            <w:noWrap/>
            <w:vAlign w:val="bottom"/>
            <w:hideMark/>
          </w:tcPr>
          <w:p w14:paraId="2ECFE2D7"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$166.08</w:t>
            </w:r>
          </w:p>
        </w:tc>
      </w:tr>
      <w:tr w:rsidR="00DC332F" w:rsidRPr="001B33B0" w14:paraId="1698E3B4" w14:textId="77777777" w:rsidTr="00DC332F">
        <w:trPr>
          <w:trHeight w:val="288"/>
        </w:trPr>
        <w:tc>
          <w:tcPr>
            <w:tcW w:w="1616" w:type="dxa"/>
            <w:tcBorders>
              <w:top w:val="nil"/>
              <w:left w:val="nil"/>
              <w:bottom w:val="nil"/>
              <w:right w:val="nil"/>
            </w:tcBorders>
            <w:noWrap/>
            <w:vAlign w:val="bottom"/>
            <w:hideMark/>
          </w:tcPr>
          <w:p w14:paraId="01265740"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11.08%</w:t>
            </w:r>
          </w:p>
        </w:tc>
        <w:tc>
          <w:tcPr>
            <w:tcW w:w="1876" w:type="dxa"/>
            <w:tcBorders>
              <w:top w:val="nil"/>
              <w:left w:val="single" w:sz="4" w:space="0" w:color="auto"/>
              <w:bottom w:val="nil"/>
              <w:right w:val="nil"/>
            </w:tcBorders>
            <w:noWrap/>
            <w:vAlign w:val="bottom"/>
            <w:hideMark/>
          </w:tcPr>
          <w:p w14:paraId="36EDDD56"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$118.54</w:t>
            </w:r>
          </w:p>
        </w:tc>
        <w:tc>
          <w:tcPr>
            <w:tcW w:w="964" w:type="dxa"/>
            <w:tcBorders>
              <w:top w:val="nil"/>
              <w:left w:val="nil"/>
              <w:bottom w:val="nil"/>
              <w:right w:val="nil"/>
            </w:tcBorders>
            <w:shd w:val="clear" w:color="000000" w:fill="E4DFEC"/>
            <w:noWrap/>
            <w:vAlign w:val="bottom"/>
            <w:hideMark/>
          </w:tcPr>
          <w:p w14:paraId="5E50F0BA"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$123.52</w:t>
            </w:r>
          </w:p>
        </w:tc>
        <w:tc>
          <w:tcPr>
            <w:tcW w:w="964" w:type="dxa"/>
            <w:tcBorders>
              <w:top w:val="nil"/>
              <w:left w:val="nil"/>
              <w:bottom w:val="nil"/>
              <w:right w:val="nil"/>
            </w:tcBorders>
            <w:shd w:val="clear" w:color="000000" w:fill="E4DFEC"/>
            <w:noWrap/>
            <w:vAlign w:val="bottom"/>
            <w:hideMark/>
          </w:tcPr>
          <w:p w14:paraId="622FF59F"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$129.11</w:t>
            </w:r>
          </w:p>
        </w:tc>
        <w:tc>
          <w:tcPr>
            <w:tcW w:w="964" w:type="dxa"/>
            <w:tcBorders>
              <w:top w:val="nil"/>
              <w:left w:val="nil"/>
              <w:bottom w:val="nil"/>
              <w:right w:val="nil"/>
            </w:tcBorders>
            <w:shd w:val="clear" w:color="000000" w:fill="E4DFEC"/>
            <w:noWrap/>
            <w:vAlign w:val="bottom"/>
            <w:hideMark/>
          </w:tcPr>
          <w:p w14:paraId="64EEBDBC"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$135.44</w:t>
            </w:r>
          </w:p>
        </w:tc>
        <w:tc>
          <w:tcPr>
            <w:tcW w:w="964" w:type="dxa"/>
            <w:tcBorders>
              <w:top w:val="nil"/>
              <w:left w:val="nil"/>
              <w:bottom w:val="nil"/>
              <w:right w:val="nil"/>
            </w:tcBorders>
            <w:noWrap/>
            <w:vAlign w:val="bottom"/>
            <w:hideMark/>
          </w:tcPr>
          <w:p w14:paraId="35F1C17F"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$142.66</w:t>
            </w:r>
          </w:p>
        </w:tc>
      </w:tr>
      <w:tr w:rsidR="00DC332F" w:rsidRPr="001B33B0" w14:paraId="08F36B7A" w14:textId="77777777" w:rsidTr="00DC332F">
        <w:trPr>
          <w:trHeight w:val="288"/>
        </w:trPr>
        <w:tc>
          <w:tcPr>
            <w:tcW w:w="1616" w:type="dxa"/>
            <w:tcBorders>
              <w:top w:val="nil"/>
              <w:left w:val="nil"/>
              <w:bottom w:val="nil"/>
              <w:right w:val="nil"/>
            </w:tcBorders>
            <w:noWrap/>
            <w:vAlign w:val="bottom"/>
            <w:hideMark/>
          </w:tcPr>
          <w:p w14:paraId="02643D92"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12.08%</w:t>
            </w:r>
          </w:p>
        </w:tc>
        <w:tc>
          <w:tcPr>
            <w:tcW w:w="1876" w:type="dxa"/>
            <w:tcBorders>
              <w:top w:val="nil"/>
              <w:left w:val="single" w:sz="4" w:space="0" w:color="auto"/>
              <w:bottom w:val="nil"/>
              <w:right w:val="nil"/>
            </w:tcBorders>
            <w:noWrap/>
            <w:vAlign w:val="bottom"/>
            <w:hideMark/>
          </w:tcPr>
          <w:p w14:paraId="5A9AC0F6"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$106.67</w:t>
            </w:r>
          </w:p>
        </w:tc>
        <w:tc>
          <w:tcPr>
            <w:tcW w:w="964" w:type="dxa"/>
            <w:tcBorders>
              <w:top w:val="nil"/>
              <w:left w:val="nil"/>
              <w:bottom w:val="nil"/>
              <w:right w:val="nil"/>
            </w:tcBorders>
            <w:noWrap/>
            <w:vAlign w:val="bottom"/>
            <w:hideMark/>
          </w:tcPr>
          <w:p w14:paraId="7DE97CAD"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$110.55</w:t>
            </w:r>
          </w:p>
        </w:tc>
        <w:tc>
          <w:tcPr>
            <w:tcW w:w="964" w:type="dxa"/>
            <w:tcBorders>
              <w:top w:val="nil"/>
              <w:left w:val="nil"/>
              <w:bottom w:val="nil"/>
              <w:right w:val="nil"/>
            </w:tcBorders>
            <w:noWrap/>
            <w:vAlign w:val="bottom"/>
            <w:hideMark/>
          </w:tcPr>
          <w:p w14:paraId="0160EB7E"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$114.85</w:t>
            </w:r>
          </w:p>
        </w:tc>
        <w:tc>
          <w:tcPr>
            <w:tcW w:w="964" w:type="dxa"/>
            <w:tcBorders>
              <w:top w:val="nil"/>
              <w:left w:val="nil"/>
              <w:bottom w:val="nil"/>
              <w:right w:val="nil"/>
            </w:tcBorders>
            <w:noWrap/>
            <w:vAlign w:val="bottom"/>
            <w:hideMark/>
          </w:tcPr>
          <w:p w14:paraId="7E36F0F3"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$119.65</w:t>
            </w:r>
          </w:p>
        </w:tc>
        <w:tc>
          <w:tcPr>
            <w:tcW w:w="964" w:type="dxa"/>
            <w:tcBorders>
              <w:top w:val="nil"/>
              <w:left w:val="nil"/>
              <w:bottom w:val="nil"/>
              <w:right w:val="nil"/>
            </w:tcBorders>
            <w:noWrap/>
            <w:vAlign w:val="bottom"/>
            <w:hideMark/>
          </w:tcPr>
          <w:p w14:paraId="1CC6929E" w14:textId="77777777" w:rsidR="00DC332F" w:rsidRPr="001B33B0" w:rsidRDefault="00DC332F" w:rsidP="00DC332F">
            <w:pPr>
              <w:spacing w:after="0" w:line="240" w:lineRule="auto"/>
              <w:jc w:val="right"/>
              <w:rPr>
                <w:rFonts w:eastAsia="Times New Roman" w:cs="Arial"/>
                <w:color w:val="000000"/>
                <w:sz w:val="20"/>
                <w:szCs w:val="20"/>
              </w:rPr>
            </w:pPr>
            <w:r w:rsidRPr="001B33B0">
              <w:rPr>
                <w:rFonts w:eastAsia="Times New Roman" w:cs="Arial"/>
                <w:color w:val="000000"/>
                <w:sz w:val="20"/>
                <w:szCs w:val="20"/>
              </w:rPr>
              <w:t>$125.04</w:t>
            </w:r>
          </w:p>
        </w:tc>
      </w:tr>
    </w:tbl>
    <w:p w14:paraId="1A644CAE" w14:textId="77777777" w:rsidR="001B33B0" w:rsidRDefault="001B33B0"/>
    <w:p w14:paraId="14DE64B6" w14:textId="77777777" w:rsidR="001B33B0" w:rsidRDefault="001B33B0"/>
    <w:p w14:paraId="32CA681E" w14:textId="77777777" w:rsidR="001B33B0" w:rsidRDefault="001B33B0"/>
    <w:p w14:paraId="1A09241D" w14:textId="77777777" w:rsidR="001B33B0" w:rsidRDefault="001B33B0"/>
    <w:p w14:paraId="0D2A0EBA" w14:textId="77777777" w:rsidR="00DC332F" w:rsidRDefault="00DC332F"/>
    <w:p w14:paraId="50FF19CB" w14:textId="77777777" w:rsidR="00DC332F" w:rsidRDefault="00DC332F"/>
    <w:p w14:paraId="7A3DC525" w14:textId="77777777" w:rsidR="00DC332F" w:rsidRDefault="00DC332F"/>
    <w:p w14:paraId="403E45A8" w14:textId="77777777" w:rsidR="00DC332F" w:rsidRDefault="00DC332F"/>
    <w:p w14:paraId="19C38566" w14:textId="77777777" w:rsidR="00DC332F" w:rsidRDefault="00DC332F" w:rsidP="00A70B77">
      <w:pPr>
        <w:spacing w:before="40" w:after="100"/>
        <w:rPr>
          <w:i/>
          <w:color w:val="5F5F5F"/>
        </w:rPr>
      </w:pPr>
    </w:p>
    <w:p w14:paraId="7C2968BB" w14:textId="77777777" w:rsidR="00DC332F" w:rsidRDefault="00DC332F" w:rsidP="00A70B77">
      <w:pPr>
        <w:spacing w:before="40" w:after="100"/>
        <w:rPr>
          <w:i/>
          <w:color w:val="5F5F5F"/>
        </w:rPr>
      </w:pPr>
    </w:p>
    <w:p w14:paraId="060B69D8" w14:textId="6CF162DC" w:rsidR="00DC332F" w:rsidRDefault="00DC332F" w:rsidP="00A70B77">
      <w:pPr>
        <w:spacing w:before="40" w:after="100"/>
        <w:rPr>
          <w:i/>
          <w:color w:val="5F5F5F"/>
          <w:sz w:val="15"/>
        </w:rPr>
      </w:pPr>
    </w:p>
    <w:p w14:paraId="2EA1C74D" w14:textId="77777777" w:rsidR="00DC332F" w:rsidRDefault="00DC332F" w:rsidP="00A70B77">
      <w:pPr>
        <w:spacing w:before="40" w:after="100"/>
        <w:rPr>
          <w:i/>
          <w:color w:val="5F5F5F"/>
          <w:sz w:val="15"/>
        </w:rPr>
      </w:pPr>
    </w:p>
    <w:p w14:paraId="7FD6A68B" w14:textId="7EE83E0F" w:rsidR="00A70B77" w:rsidRDefault="00A70B77" w:rsidP="00A70B77">
      <w:pPr>
        <w:spacing w:before="40" w:after="100"/>
      </w:pPr>
      <w:r>
        <w:rPr>
          <w:i/>
          <w:color w:val="5F5F5F"/>
          <w:sz w:val="15"/>
        </w:rPr>
        <w:t xml:space="preserve">Source: </w:t>
      </w:r>
      <w:proofErr w:type="spellStart"/>
      <w:r>
        <w:rPr>
          <w:i/>
          <w:color w:val="5F5F5F"/>
          <w:sz w:val="15"/>
        </w:rPr>
        <w:t>aApple</w:t>
      </w:r>
      <w:proofErr w:type="spellEnd"/>
      <w:r>
        <w:rPr>
          <w:i/>
          <w:color w:val="5F5F5F"/>
          <w:sz w:val="15"/>
        </w:rPr>
        <w:t xml:space="preserve"> </w:t>
      </w:r>
      <w:proofErr w:type="gramStart"/>
      <w:r>
        <w:rPr>
          <w:i/>
          <w:color w:val="5F5F5F"/>
          <w:sz w:val="15"/>
        </w:rPr>
        <w:t>DCF(</w:t>
      </w:r>
      <w:proofErr w:type="gramEnd"/>
      <w:r>
        <w:rPr>
          <w:i/>
          <w:color w:val="5F5F5F"/>
          <w:sz w:val="15"/>
        </w:rPr>
        <w:t>4).xlsx, Valuation, exit-multiple and perpetuity sensitivity analyses.</w:t>
      </w:r>
    </w:p>
    <w:p w14:paraId="68C0320E" w14:textId="77777777" w:rsidR="00A70B77" w:rsidRDefault="00A70B77"/>
    <w:p w14:paraId="304D4430" w14:textId="77777777" w:rsidR="002F1EFC" w:rsidRDefault="00000000">
      <w:pPr>
        <w:pStyle w:val="Heading2"/>
      </w:pPr>
      <w:r>
        <w:t>Forecast cash flow and sensitivity</w:t>
      </w:r>
    </w:p>
    <w:tbl>
      <w:tblPr>
        <w:tblStyle w:val="LightShading-Accent1"/>
        <w:tblW w:w="0" w:type="auto"/>
        <w:tblLook w:val="04A0" w:firstRow="1" w:lastRow="0" w:firstColumn="1" w:lastColumn="0" w:noHBand="0" w:noVBand="1"/>
      </w:tblPr>
      <w:tblGrid>
        <w:gridCol w:w="4320"/>
        <w:gridCol w:w="4320"/>
      </w:tblGrid>
      <w:tr w:rsidR="002F1EFC" w14:paraId="39D31E7B" w14:textId="77777777" w:rsidTr="002F1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70369B"/>
          </w:tcPr>
          <w:p w14:paraId="1F3DBE01" w14:textId="77777777" w:rsidR="002F1EFC" w:rsidRDefault="00000000">
            <w:r>
              <w:rPr>
                <w:color w:val="FFFFFF"/>
              </w:rPr>
              <w:t>Fiscal year</w:t>
            </w:r>
          </w:p>
        </w:tc>
        <w:tc>
          <w:tcPr>
            <w:tcW w:w="4320" w:type="dxa"/>
            <w:shd w:val="clear" w:color="auto" w:fill="70369B"/>
          </w:tcPr>
          <w:p w14:paraId="1EAEFAAA" w14:textId="77777777" w:rsidR="002F1EFC" w:rsidRDefault="00000000">
            <w:pPr>
              <w:cnfStyle w:val="100000000000" w:firstRow="1" w:lastRow="0" w:firstColumn="0" w:lastColumn="0" w:oddVBand="0" w:evenVBand="0" w:oddHBand="0" w:evenHBand="0" w:firstRowFirstColumn="0" w:firstRowLastColumn="0" w:lastRowFirstColumn="0" w:lastRowLastColumn="0"/>
            </w:pPr>
            <w:r>
              <w:rPr>
                <w:color w:val="FFFFFF"/>
              </w:rPr>
              <w:t>Projected unlevered FCF</w:t>
            </w:r>
          </w:p>
        </w:tc>
      </w:tr>
      <w:tr w:rsidR="002F1EFC" w14:paraId="5C75BC79" w14:textId="77777777" w:rsidTr="002F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451C89" w14:textId="77777777" w:rsidR="002F1EFC" w:rsidRDefault="00000000">
            <w:r>
              <w:t>2026E</w:t>
            </w:r>
          </w:p>
        </w:tc>
        <w:tc>
          <w:tcPr>
            <w:tcW w:w="4320" w:type="dxa"/>
          </w:tcPr>
          <w:p w14:paraId="3D64BB64" w14:textId="77777777" w:rsidR="002F1EFC" w:rsidRDefault="00000000">
            <w:pPr>
              <w:cnfStyle w:val="000000100000" w:firstRow="0" w:lastRow="0" w:firstColumn="0" w:lastColumn="0" w:oddVBand="0" w:evenVBand="0" w:oddHBand="1" w:evenHBand="0" w:firstRowFirstColumn="0" w:firstRowLastColumn="0" w:lastRowFirstColumn="0" w:lastRowLastColumn="0"/>
            </w:pPr>
            <w:r>
              <w:t>$125.1bn</w:t>
            </w:r>
          </w:p>
        </w:tc>
      </w:tr>
      <w:tr w:rsidR="002F1EFC" w14:paraId="2E6055EC" w14:textId="77777777" w:rsidTr="002F1EFC">
        <w:tc>
          <w:tcPr>
            <w:cnfStyle w:val="001000000000" w:firstRow="0" w:lastRow="0" w:firstColumn="1" w:lastColumn="0" w:oddVBand="0" w:evenVBand="0" w:oddHBand="0" w:evenHBand="0" w:firstRowFirstColumn="0" w:firstRowLastColumn="0" w:lastRowFirstColumn="0" w:lastRowLastColumn="0"/>
            <w:tcW w:w="4320" w:type="dxa"/>
          </w:tcPr>
          <w:p w14:paraId="2BCC634C" w14:textId="77777777" w:rsidR="002F1EFC" w:rsidRDefault="00000000">
            <w:r>
              <w:t>2027E</w:t>
            </w:r>
          </w:p>
        </w:tc>
        <w:tc>
          <w:tcPr>
            <w:tcW w:w="4320" w:type="dxa"/>
          </w:tcPr>
          <w:p w14:paraId="5B0A1F51" w14:textId="77777777" w:rsidR="002F1EFC" w:rsidRDefault="00000000">
            <w:pPr>
              <w:cnfStyle w:val="000000000000" w:firstRow="0" w:lastRow="0" w:firstColumn="0" w:lastColumn="0" w:oddVBand="0" w:evenVBand="0" w:oddHBand="0" w:evenHBand="0" w:firstRowFirstColumn="0" w:firstRowLastColumn="0" w:lastRowFirstColumn="0" w:lastRowLastColumn="0"/>
            </w:pPr>
            <w:r>
              <w:t>$135.0bn</w:t>
            </w:r>
          </w:p>
        </w:tc>
      </w:tr>
      <w:tr w:rsidR="002F1EFC" w14:paraId="51762787" w14:textId="77777777" w:rsidTr="002F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CCFD00" w14:textId="77777777" w:rsidR="002F1EFC" w:rsidRDefault="00000000">
            <w:r>
              <w:t>2028E</w:t>
            </w:r>
          </w:p>
        </w:tc>
        <w:tc>
          <w:tcPr>
            <w:tcW w:w="4320" w:type="dxa"/>
          </w:tcPr>
          <w:p w14:paraId="1312C0AB" w14:textId="77777777" w:rsidR="002F1EFC" w:rsidRDefault="00000000">
            <w:pPr>
              <w:cnfStyle w:val="000000100000" w:firstRow="0" w:lastRow="0" w:firstColumn="0" w:lastColumn="0" w:oddVBand="0" w:evenVBand="0" w:oddHBand="1" w:evenHBand="0" w:firstRowFirstColumn="0" w:firstRowLastColumn="0" w:lastRowFirstColumn="0" w:lastRowLastColumn="0"/>
            </w:pPr>
            <w:r>
              <w:t>$142.7bn</w:t>
            </w:r>
          </w:p>
        </w:tc>
      </w:tr>
      <w:tr w:rsidR="002F1EFC" w14:paraId="6D317B86" w14:textId="77777777" w:rsidTr="002F1EFC">
        <w:tc>
          <w:tcPr>
            <w:cnfStyle w:val="001000000000" w:firstRow="0" w:lastRow="0" w:firstColumn="1" w:lastColumn="0" w:oddVBand="0" w:evenVBand="0" w:oddHBand="0" w:evenHBand="0" w:firstRowFirstColumn="0" w:firstRowLastColumn="0" w:lastRowFirstColumn="0" w:lastRowLastColumn="0"/>
            <w:tcW w:w="4320" w:type="dxa"/>
          </w:tcPr>
          <w:p w14:paraId="3CD743DB" w14:textId="77777777" w:rsidR="002F1EFC" w:rsidRDefault="00000000">
            <w:r>
              <w:t>2029E</w:t>
            </w:r>
          </w:p>
        </w:tc>
        <w:tc>
          <w:tcPr>
            <w:tcW w:w="4320" w:type="dxa"/>
          </w:tcPr>
          <w:p w14:paraId="2952EBEC" w14:textId="77777777" w:rsidR="002F1EFC" w:rsidRDefault="00000000">
            <w:pPr>
              <w:cnfStyle w:val="000000000000" w:firstRow="0" w:lastRow="0" w:firstColumn="0" w:lastColumn="0" w:oddVBand="0" w:evenVBand="0" w:oddHBand="0" w:evenHBand="0" w:firstRowFirstColumn="0" w:firstRowLastColumn="0" w:lastRowFirstColumn="0" w:lastRowLastColumn="0"/>
            </w:pPr>
            <w:r>
              <w:t>$150.8bn</w:t>
            </w:r>
          </w:p>
        </w:tc>
      </w:tr>
      <w:tr w:rsidR="002F1EFC" w14:paraId="0E56CB26" w14:textId="77777777" w:rsidTr="002F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5CA5C3" w14:textId="77777777" w:rsidR="002F1EFC" w:rsidRDefault="00000000">
            <w:r>
              <w:t>2030E</w:t>
            </w:r>
          </w:p>
        </w:tc>
        <w:tc>
          <w:tcPr>
            <w:tcW w:w="4320" w:type="dxa"/>
          </w:tcPr>
          <w:p w14:paraId="634FFAD6" w14:textId="77777777" w:rsidR="002F1EFC" w:rsidRDefault="00000000">
            <w:pPr>
              <w:cnfStyle w:val="000000100000" w:firstRow="0" w:lastRow="0" w:firstColumn="0" w:lastColumn="0" w:oddVBand="0" w:evenVBand="0" w:oddHBand="1" w:evenHBand="0" w:firstRowFirstColumn="0" w:firstRowLastColumn="0" w:lastRowFirstColumn="0" w:lastRowLastColumn="0"/>
            </w:pPr>
            <w:r>
              <w:t>$158.4bn</w:t>
            </w:r>
          </w:p>
        </w:tc>
      </w:tr>
    </w:tbl>
    <w:p w14:paraId="32BC1765" w14:textId="77777777" w:rsidR="009C0B43" w:rsidRDefault="00000000">
      <w:pPr>
        <w:spacing w:before="40" w:after="100"/>
      </w:pPr>
      <w:r>
        <w:rPr>
          <w:i/>
          <w:color w:val="5F5F5F"/>
          <w:sz w:val="15"/>
        </w:rPr>
        <w:t xml:space="preserve">Source: </w:t>
      </w:r>
      <w:proofErr w:type="spellStart"/>
      <w:r>
        <w:rPr>
          <w:i/>
          <w:color w:val="5F5F5F"/>
          <w:sz w:val="15"/>
        </w:rPr>
        <w:t>aApple</w:t>
      </w:r>
      <w:proofErr w:type="spellEnd"/>
      <w:r>
        <w:rPr>
          <w:i/>
          <w:color w:val="5F5F5F"/>
          <w:sz w:val="15"/>
        </w:rPr>
        <w:t xml:space="preserve"> </w:t>
      </w:r>
      <w:proofErr w:type="gramStart"/>
      <w:r>
        <w:rPr>
          <w:i/>
          <w:color w:val="5F5F5F"/>
          <w:sz w:val="15"/>
        </w:rPr>
        <w:t>DCF(</w:t>
      </w:r>
      <w:proofErr w:type="gramEnd"/>
      <w:r>
        <w:rPr>
          <w:i/>
          <w:color w:val="5F5F5F"/>
          <w:sz w:val="15"/>
        </w:rPr>
        <w:t>4).xlsx, Valuation, projected unlevered free cash flow.</w:t>
      </w:r>
    </w:p>
    <w:p w14:paraId="74DA4612" w14:textId="77777777" w:rsidR="002F1EFC" w:rsidRDefault="00000000">
      <w:r>
        <w:t>The exit-multiple approach places substantial weight on the market multiple continuing into FY2030. The perpetuity approach instead assumes cash flows grow at 3% after the forecast. Neither is a guaranteed price target. Sensitivity analysis shows that changes in WACC, exit multiple and terminal growth can materially change fair value. In particular, a 29.38x exit multiple is a demanding assumption and should be tested against a normalized peer group.</w:t>
      </w:r>
    </w:p>
    <w:p w14:paraId="74BF0C35" w14:textId="77777777" w:rsidR="009C0B43" w:rsidRDefault="00000000">
      <w:r>
        <w:t>Investment interpretation: At the $340.42 reference price, the $317.79 exit-multiple estimate implies approximately 6.6% downside, while the $147.41 perpetuity estimate implies 56.7% downside. The large difference reflects terminal-value assumptions, not a precise forecast of future share-price performance. A HOLD therefore requires confidence in the underlying franchise but does not imply an attractive margin of safety at the reference price.</w:t>
      </w:r>
    </w:p>
    <w:p w14:paraId="60444E34" w14:textId="77777777" w:rsidR="002F1EFC" w:rsidRDefault="00000000">
      <w:pPr>
        <w:pStyle w:val="Heading1"/>
      </w:pPr>
      <w:r>
        <w:lastRenderedPageBreak/>
        <w:t>6. Relative Valuation and Model Limitations</w:t>
      </w:r>
    </w:p>
    <w:p w14:paraId="377911F5" w14:textId="77777777" w:rsidR="002F1EFC" w:rsidRDefault="00000000">
      <w:r>
        <w:t>Our relative valuation compares Apple with selected technology peers as of October 7, 2026. The peers differ materially in business models, including software, internet platforms and hardware. Their EV/revenue, EV/EBITDA and earnings multiples should therefore be treated as a cross-check rather than a single interchangeable benchmark. The DCF exit multiple is derived from current enterprise value and trailing EBITDA, not from a separately established long-run industry multiple.</w:t>
      </w:r>
    </w:p>
    <w:p w14:paraId="3AB2C184" w14:textId="77777777" w:rsidR="009C0B43" w:rsidRDefault="00000000">
      <w:r>
        <w:t>Relative-valuation interpretation: The 29.38x EBITDA exit multiple embedded in the DCF should not be treated as a conservative industry norm. Apple’s integrated hardware-and-services mix differs from software, semiconductor and internet-platform peers. Comparable-company multiples are most useful as a reasonableness check on the terminal assumption, not as a substitute for cash-flow valuation.</w:t>
      </w:r>
    </w:p>
    <w:p w14:paraId="76B6B2CD" w14:textId="77777777" w:rsidR="002F1EFC" w:rsidRDefault="00000000">
      <w:r>
        <w:t>Important limitations: the model uses a September 2025 valuation anchor with October 2026 market inputs; forecasts and price inputs are not all from the same date. The report does not independently audit the source data or rebuild the full model. The October 8 price is historical, not a live quote. The DCF estimates are scenario outputs, not assured returns.</w:t>
      </w:r>
    </w:p>
    <w:p w14:paraId="59F6581C" w14:textId="77777777" w:rsidR="002F1EFC" w:rsidRDefault="00000000">
      <w:pPr>
        <w:pStyle w:val="Heading1"/>
      </w:pPr>
      <w:r>
        <w:t>7. Risks, Catalysts and What Would Change the View</w:t>
      </w:r>
    </w:p>
    <w:p w14:paraId="5A9F0AE7" w14:textId="77777777" w:rsidR="002F1EFC" w:rsidRDefault="00000000">
      <w:pPr>
        <w:pStyle w:val="Heading2"/>
      </w:pPr>
      <w:r>
        <w:t>Principal risks</w:t>
      </w:r>
    </w:p>
    <w:p w14:paraId="22722CDE" w14:textId="77777777" w:rsidR="002F1EFC" w:rsidRDefault="00000000">
      <w:r>
        <w:t>Hardware concentration: iPhone remains the largest product line, making replacement cycles and premium-phone demand important. Valuation: a high exit multiple leaves the model exposed to a lower market rating. Services: strong revenue growth may slow, and the individual economics of each service are not established by available segment-level information. Semiconductor supply: advanced-node manufacturing capacity and execution could affect costs and product launches. Data risk: forecasts, shipments, user counts and market-share definitions vary across industry sources.</w:t>
      </w:r>
    </w:p>
    <w:p w14:paraId="112FF82C" w14:textId="77777777" w:rsidR="002F1EFC" w:rsidRDefault="00000000">
      <w:pPr>
        <w:pStyle w:val="Heading2"/>
      </w:pPr>
      <w:r>
        <w:t>Potential catalysts</w:t>
      </w:r>
    </w:p>
    <w:p w14:paraId="78507A4F" w14:textId="77777777" w:rsidR="002F1EFC" w:rsidRDefault="00000000">
      <w:r>
        <w:t>Better-than-modeled services growth; stronger hardware replacement demand; successful chip-driven product upgrades; better free cash flow conversion; and a lower entry price that creates a margin of safety. These are possible developments to monitor, not predicted events.</w:t>
      </w:r>
    </w:p>
    <w:p w14:paraId="42713018" w14:textId="77777777" w:rsidR="002F1EFC" w:rsidRDefault="00000000">
      <w:pPr>
        <w:pStyle w:val="Heading2"/>
      </w:pPr>
      <w:r>
        <w:t>Decision framework</w:t>
      </w:r>
    </w:p>
    <w:tbl>
      <w:tblPr>
        <w:tblStyle w:val="LightShading-Accent1"/>
        <w:tblW w:w="0" w:type="auto"/>
        <w:tblLook w:val="04A0" w:firstRow="1" w:lastRow="0" w:firstColumn="1" w:lastColumn="0" w:noHBand="0" w:noVBand="1"/>
      </w:tblPr>
      <w:tblGrid>
        <w:gridCol w:w="2880"/>
        <w:gridCol w:w="2880"/>
        <w:gridCol w:w="2880"/>
      </w:tblGrid>
      <w:tr w:rsidR="002F1EFC" w14:paraId="1E28B7FE" w14:textId="77777777" w:rsidTr="002F1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70369B"/>
          </w:tcPr>
          <w:p w14:paraId="0B4EEB41" w14:textId="77777777" w:rsidR="002F1EFC" w:rsidRDefault="00000000">
            <w:r>
              <w:rPr>
                <w:color w:val="FFFFFF"/>
              </w:rPr>
              <w:t>Move toward BUY</w:t>
            </w:r>
          </w:p>
        </w:tc>
        <w:tc>
          <w:tcPr>
            <w:tcW w:w="2880" w:type="dxa"/>
            <w:shd w:val="clear" w:color="auto" w:fill="70369B"/>
          </w:tcPr>
          <w:p w14:paraId="6DA3CA9E" w14:textId="77777777" w:rsidR="002F1EFC" w:rsidRDefault="00000000">
            <w:pPr>
              <w:cnfStyle w:val="100000000000" w:firstRow="1" w:lastRow="0" w:firstColumn="0" w:lastColumn="0" w:oddVBand="0" w:evenVBand="0" w:oddHBand="0" w:evenHBand="0" w:firstRowFirstColumn="0" w:firstRowLastColumn="0" w:lastRowFirstColumn="0" w:lastRowLastColumn="0"/>
            </w:pPr>
            <w:r>
              <w:rPr>
                <w:color w:val="FFFFFF"/>
              </w:rPr>
              <w:t>Maintain HOLD</w:t>
            </w:r>
          </w:p>
        </w:tc>
        <w:tc>
          <w:tcPr>
            <w:tcW w:w="2880" w:type="dxa"/>
            <w:shd w:val="clear" w:color="auto" w:fill="70369B"/>
          </w:tcPr>
          <w:p w14:paraId="3FA0FD78" w14:textId="77777777" w:rsidR="002F1EFC" w:rsidRDefault="00000000">
            <w:pPr>
              <w:cnfStyle w:val="100000000000" w:firstRow="1" w:lastRow="0" w:firstColumn="0" w:lastColumn="0" w:oddVBand="0" w:evenVBand="0" w:oddHBand="0" w:evenHBand="0" w:firstRowFirstColumn="0" w:firstRowLastColumn="0" w:lastRowFirstColumn="0" w:lastRowLastColumn="0"/>
            </w:pPr>
            <w:r>
              <w:rPr>
                <w:color w:val="FFFFFF"/>
              </w:rPr>
              <w:t>Move toward SELL</w:t>
            </w:r>
          </w:p>
        </w:tc>
      </w:tr>
      <w:tr w:rsidR="002F1EFC" w14:paraId="578E1696" w14:textId="77777777" w:rsidTr="002F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27451F" w14:textId="77777777" w:rsidR="002F1EFC" w:rsidRDefault="00000000">
            <w:r>
              <w:t>Price falls enough to create a margin of safety, or supported cash-flow forecasts rise</w:t>
            </w:r>
          </w:p>
        </w:tc>
        <w:tc>
          <w:tcPr>
            <w:tcW w:w="2880" w:type="dxa"/>
          </w:tcPr>
          <w:p w14:paraId="4C93726E" w14:textId="77777777" w:rsidR="002F1EFC" w:rsidRDefault="00000000">
            <w:pPr>
              <w:cnfStyle w:val="000000100000" w:firstRow="0" w:lastRow="0" w:firstColumn="0" w:lastColumn="0" w:oddVBand="0" w:evenVBand="0" w:oddHBand="1" w:evenHBand="0" w:firstRowFirstColumn="0" w:firstRowLastColumn="0" w:lastRowFirstColumn="0" w:lastRowLastColumn="0"/>
            </w:pPr>
            <w:r>
              <w:t>Business performance remains sound, but valuation is near or above defensible value</w:t>
            </w:r>
          </w:p>
        </w:tc>
        <w:tc>
          <w:tcPr>
            <w:tcW w:w="2880" w:type="dxa"/>
          </w:tcPr>
          <w:p w14:paraId="4F99BA54" w14:textId="77777777" w:rsidR="002F1EFC" w:rsidRDefault="00000000">
            <w:pPr>
              <w:cnfStyle w:val="000000100000" w:firstRow="0" w:lastRow="0" w:firstColumn="0" w:lastColumn="0" w:oddVBand="0" w:evenVBand="0" w:oddHBand="1" w:evenHBand="0" w:firstRowFirstColumn="0" w:firstRowLastColumn="0" w:lastRowFirstColumn="0" w:lastRowLastColumn="0"/>
            </w:pPr>
            <w:r>
              <w:t>Cash-flow outlook weakens, chip or product risks rise, or valuation becomes harder to justify</w:t>
            </w:r>
          </w:p>
        </w:tc>
      </w:tr>
    </w:tbl>
    <w:p w14:paraId="01054BD1" w14:textId="77777777" w:rsidR="009C0B43" w:rsidRDefault="00000000">
      <w:pPr>
        <w:spacing w:before="40" w:after="100"/>
      </w:pPr>
      <w:r>
        <w:rPr>
          <w:i/>
          <w:color w:val="5F5F5F"/>
          <w:sz w:val="15"/>
        </w:rPr>
        <w:t>Source: Author’s investment framework, based on the financial and valuation analysis presented in this report.</w:t>
      </w:r>
    </w:p>
    <w:p w14:paraId="433A43CD" w14:textId="77777777" w:rsidR="002F1EFC" w:rsidRDefault="00000000">
      <w:pPr>
        <w:pStyle w:val="Heading1"/>
      </w:pPr>
      <w:r>
        <w:t>8. Conclusion</w:t>
      </w:r>
    </w:p>
    <w:p w14:paraId="2D47F621" w14:textId="77777777" w:rsidR="002F1EFC" w:rsidRDefault="00000000">
      <w:r>
        <w:t>Apple combines a large hardware business with a growing services line. FY2025 financial results support a clear services-growth argument, while iPhone revenue remains central to the company. Apple silicon may help product differentiation, but its financial contribution cannot be quantified from the available financial information. The DCF does not show a margin of safety against its October 8, 2026 reference price: the exit-multiple method indicates modest downside and the perpetuity method much greater downside. A conditional HOLD is the most defensible reading of this model until the price inputs, forecasts and terminal assumptions are refreshed.</w:t>
      </w:r>
    </w:p>
    <w:p w14:paraId="3CBA0916" w14:textId="77777777" w:rsidR="002F1EFC" w:rsidRDefault="00000000">
      <w:pPr>
        <w:pStyle w:val="Heading1"/>
      </w:pPr>
      <w:r>
        <w:t>Sources and Research Notes</w:t>
      </w:r>
    </w:p>
    <w:p w14:paraId="47FB5434" w14:textId="77777777" w:rsidR="002F1EFC" w:rsidRDefault="00000000">
      <w:r>
        <w:t xml:space="preserve">Primary analysis: aApple DCF(4).xlsx (&gt;&gt;Valuation and supporting schedules); aApple Financial Analysis(5).xlsx; Apple_Four_Financial_Analyses(6).xlsx; aApple Trading Comps(4).xlsx; bApple Fundamentals(5).xlsx; bApple Smartphone Industry(5).xlsx; bApple Laptop Industry(5).xlsx; bApple Tablets </w:t>
      </w:r>
      <w:r>
        <w:lastRenderedPageBreak/>
        <w:t>Industry(5).xlsx; bApple Accessories and Services Industry(5).xlsx. Historical numbers and industry datasets come from these workbooks. The Monster Beverage PDF was used for layout guidance only.</w:t>
      </w:r>
    </w:p>
    <w:p w14:paraId="0FDA261C" w14:textId="68A522C3" w:rsidR="002F1EFC" w:rsidRDefault="00000000">
      <w:r>
        <w:t xml:space="preserve">[S1] Apple Support, Mac computers with Apple silicon: </w:t>
      </w:r>
      <w:hyperlink r:id="rId10" w:history="1">
        <w:r w:rsidR="00A91F64" w:rsidRPr="00E53B33">
          <w:rPr>
            <w:rStyle w:val="Hyperlink"/>
          </w:rPr>
          <w:t>https://support.apple.com/en-us/116943</w:t>
        </w:r>
      </w:hyperlink>
    </w:p>
    <w:p w14:paraId="3EF4C422" w14:textId="3AF8CCEF" w:rsidR="002F1EFC" w:rsidRDefault="00000000">
      <w:r>
        <w:t xml:space="preserve">[S2] Apple Newsroom, M5 Pro and M5 Max, 3 March 2026: </w:t>
      </w:r>
      <w:hyperlink r:id="rId11" w:history="1">
        <w:r w:rsidR="00A91F64" w:rsidRPr="00E53B33">
          <w:rPr>
            <w:rStyle w:val="Hyperlink"/>
          </w:rPr>
          <w:t>https://www.apple.com/newsroom/2026/03/apple-debuts-m5-pro-and-m5-max-to-supercharge-the-most-demanding-pro-workflows/</w:t>
        </w:r>
      </w:hyperlink>
    </w:p>
    <w:p w14:paraId="28FAC3D0" w14:textId="75656F24" w:rsidR="00A91F64" w:rsidRDefault="00000000">
      <w:r>
        <w:t xml:space="preserve">[S3] Apple Newsroom, M6 and M5 Ultra, 25 August 2026: </w:t>
      </w:r>
      <w:hyperlink r:id="rId12" w:history="1">
        <w:r w:rsidR="00A91F64" w:rsidRPr="00E53B33">
          <w:rPr>
            <w:rStyle w:val="Hyperlink"/>
          </w:rPr>
          <w:t>https://www.apple.com/ca/newsroom/2026/08/apple-introduces-m6-and-m5-ultra-for-a-big-leap-in-performance-and-ai-compute/</w:t>
        </w:r>
      </w:hyperlink>
    </w:p>
    <w:p w14:paraId="5CE38F81" w14:textId="12522BC2" w:rsidR="00A91F64" w:rsidRDefault="00000000">
      <w:r>
        <w:t xml:space="preserve">[S4] TSMC, 2025 Annual Report: </w:t>
      </w:r>
      <w:hyperlink r:id="rId13" w:history="1">
        <w:r w:rsidR="00A91F64" w:rsidRPr="00E53B33">
          <w:rPr>
            <w:rStyle w:val="Hyperlink"/>
          </w:rPr>
          <w:t>https://investor.tsmc.com/static/annualReports/2025/english/index.html</w:t>
        </w:r>
      </w:hyperlink>
    </w:p>
    <w:p w14:paraId="77CCA86B" w14:textId="40C55CAA" w:rsidR="00A91F64" w:rsidRDefault="00A91F64">
      <w:r>
        <w:t xml:space="preserve">[S5] Apple emerging market (India) </w:t>
      </w:r>
      <w:hyperlink r:id="rId14" w:history="1">
        <w:r w:rsidRPr="00461063">
          <w:rPr>
            <w:rStyle w:val="Hyperlink"/>
          </w:rPr>
          <w:t>https://om</w:t>
        </w:r>
        <w:r w:rsidRPr="00461063">
          <w:rPr>
            <w:rStyle w:val="Hyperlink"/>
          </w:rPr>
          <w:t>d</w:t>
        </w:r>
        <w:r w:rsidRPr="00461063">
          <w:rPr>
            <w:rStyle w:val="Hyperlink"/>
          </w:rPr>
          <w:t>ia.tech.informa.com/om146897/apples-emerging-market-opportunity-shifts-from-acquisition-to-monetization?</w:t>
        </w:r>
      </w:hyperlink>
      <w:r>
        <w:t xml:space="preserve"> </w:t>
      </w:r>
    </w:p>
    <w:p w14:paraId="5EACA97E" w14:textId="77777777" w:rsidR="00A91F64" w:rsidRDefault="00A91F64"/>
    <w:p w14:paraId="6CB55A73" w14:textId="16F6093A" w:rsidR="002F1EFC" w:rsidRDefault="00000000">
      <w:r>
        <w:t>Research disclosure: This is an independent educational equity research exercise, not personalized investment advice. The recommendation is conditional on the valuation assumptions and dated price. No claim of CFA Institute endorsement or compliance certification is made.</w:t>
      </w:r>
    </w:p>
    <w:sectPr w:rsidR="002F1EFC" w:rsidSect="00034616">
      <w:headerReference w:type="default" r:id="rId15"/>
      <w:footerReference w:type="default" r:id="rId16"/>
      <w:pgSz w:w="12240" w:h="15840"/>
      <w:pgMar w:top="1037" w:right="1800" w:bottom="936" w:left="180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AF05F" w14:textId="77777777" w:rsidR="00D550D8" w:rsidRDefault="00D550D8">
      <w:pPr>
        <w:spacing w:after="0" w:line="240" w:lineRule="auto"/>
      </w:pPr>
      <w:r>
        <w:separator/>
      </w:r>
    </w:p>
  </w:endnote>
  <w:endnote w:type="continuationSeparator" w:id="0">
    <w:p w14:paraId="55E06E8B" w14:textId="77777777" w:rsidR="00D550D8" w:rsidRDefault="00D55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218A" w14:textId="77777777" w:rsidR="002F1EFC" w:rsidRDefault="00000000">
    <w:pPr>
      <w:pStyle w:val="Footer"/>
      <w:jc w:val="center"/>
    </w:pPr>
    <w:r>
      <w:rPr>
        <w:sz w:val="16"/>
      </w:rPr>
      <w:t>Prepared by Simba Michael Choga | 20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98D3B" w14:textId="77777777" w:rsidR="00D550D8" w:rsidRDefault="00D550D8">
      <w:pPr>
        <w:spacing w:after="0" w:line="240" w:lineRule="auto"/>
      </w:pPr>
      <w:r>
        <w:separator/>
      </w:r>
    </w:p>
  </w:footnote>
  <w:footnote w:type="continuationSeparator" w:id="0">
    <w:p w14:paraId="29F85A6A" w14:textId="77777777" w:rsidR="00D550D8" w:rsidRDefault="00D55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2735" w14:textId="77777777" w:rsidR="002F1EFC" w:rsidRDefault="00000000">
    <w:pPr>
      <w:pStyle w:val="Header"/>
      <w:jc w:val="right"/>
    </w:pPr>
    <w:r>
      <w:rPr>
        <w:sz w:val="16"/>
      </w:rPr>
      <w:t>Equity Research Report | Apple Inc. (AAPL)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842074">
    <w:abstractNumId w:val="8"/>
  </w:num>
  <w:num w:numId="2" w16cid:durableId="1742829660">
    <w:abstractNumId w:val="6"/>
  </w:num>
  <w:num w:numId="3" w16cid:durableId="814880725">
    <w:abstractNumId w:val="5"/>
  </w:num>
  <w:num w:numId="4" w16cid:durableId="484664103">
    <w:abstractNumId w:val="4"/>
  </w:num>
  <w:num w:numId="5" w16cid:durableId="290672597">
    <w:abstractNumId w:val="7"/>
  </w:num>
  <w:num w:numId="6" w16cid:durableId="907571430">
    <w:abstractNumId w:val="3"/>
  </w:num>
  <w:num w:numId="7" w16cid:durableId="679040443">
    <w:abstractNumId w:val="2"/>
  </w:num>
  <w:num w:numId="8" w16cid:durableId="212541087">
    <w:abstractNumId w:val="1"/>
  </w:num>
  <w:num w:numId="9" w16cid:durableId="1811247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670"/>
    <w:rsid w:val="00141262"/>
    <w:rsid w:val="0015074B"/>
    <w:rsid w:val="0015360F"/>
    <w:rsid w:val="00191688"/>
    <w:rsid w:val="001B33B0"/>
    <w:rsid w:val="00252567"/>
    <w:rsid w:val="0029639D"/>
    <w:rsid w:val="002F1EFC"/>
    <w:rsid w:val="00303804"/>
    <w:rsid w:val="00326F90"/>
    <w:rsid w:val="00435B13"/>
    <w:rsid w:val="006A658D"/>
    <w:rsid w:val="008E5160"/>
    <w:rsid w:val="0098518F"/>
    <w:rsid w:val="009C0B43"/>
    <w:rsid w:val="00A70B77"/>
    <w:rsid w:val="00A91F64"/>
    <w:rsid w:val="00AA1D8D"/>
    <w:rsid w:val="00B47730"/>
    <w:rsid w:val="00B80426"/>
    <w:rsid w:val="00BA1DBA"/>
    <w:rsid w:val="00C66F42"/>
    <w:rsid w:val="00CB0664"/>
    <w:rsid w:val="00CD7A2E"/>
    <w:rsid w:val="00D01C59"/>
    <w:rsid w:val="00D40A61"/>
    <w:rsid w:val="00D550D8"/>
    <w:rsid w:val="00DC332F"/>
    <w:rsid w:val="00E72FB1"/>
    <w:rsid w:val="00F75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09745"/>
  <w14:defaultImageDpi w14:val="300"/>
  <w15:docId w15:val="{BDEB3D52-88F9-4A5E-A846-7BBC66C5E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E2D9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E2D9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6E2D9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1F64"/>
    <w:rPr>
      <w:color w:val="0000FF" w:themeColor="hyperlink"/>
      <w:u w:val="single"/>
    </w:rPr>
  </w:style>
  <w:style w:type="character" w:styleId="UnresolvedMention">
    <w:name w:val="Unresolved Mention"/>
    <w:basedOn w:val="DefaultParagraphFont"/>
    <w:uiPriority w:val="99"/>
    <w:semiHidden/>
    <w:unhideWhenUsed/>
    <w:rsid w:val="00A91F64"/>
    <w:rPr>
      <w:color w:val="605E5C"/>
      <w:shd w:val="clear" w:color="auto" w:fill="E1DFDD"/>
    </w:rPr>
  </w:style>
  <w:style w:type="character" w:styleId="FollowedHyperlink">
    <w:name w:val="FollowedHyperlink"/>
    <w:basedOn w:val="DefaultParagraphFont"/>
    <w:uiPriority w:val="99"/>
    <w:semiHidden/>
    <w:unhideWhenUsed/>
    <w:rsid w:val="00A91F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vestor.tsmc.com/static/annualReports/2025/english/index.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pple.com/ca/newsroom/2026/08/apple-introduces-m6-and-m5-ultra-for-a-big-leap-in-performance-and-ai-comput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pple.com/newsroom/2026/03/apple-debuts-m5-pro-and-m5-max-to-supercharge-the-most-demanding-pro-workflow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support.apple.com/en-us/116943"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omdia.tech.informa.com/om146897/apples-emerging-market-opportunity-shifts-from-acquisition-to-monetization?utm_source=chatgpt.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Simba\U.S%20Companies%20-%20Equity%20Reseach\Technology%20Hardware%20&amp;%20Equipment%20Sector\Technology%20Hardware,%20Storage%20&amp;%20Peripherals%20Industry\Apple%20-%20Research%20Excel%20Documents\bApple%20Smartphone%20Industr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'Smartphone - GDP per Capita'!$A$17</c:f>
              <c:strCache>
                <c:ptCount val="1"/>
                <c:pt idx="0">
                  <c:v>Top 20 Countries by Smartphone Penetration</c:v>
                </c:pt>
              </c:strCache>
            </c:strRef>
          </c:tx>
          <c:spPr>
            <a:ln w="19050" cap="rnd">
              <a:noFill/>
              <a:round/>
            </a:ln>
            <a:effectLst/>
          </c:spPr>
          <c:marker>
            <c:symbol val="circle"/>
            <c:size val="5"/>
            <c:spPr>
              <a:solidFill>
                <a:schemeClr val="accent1"/>
              </a:solidFill>
              <a:ln w="9525">
                <a:solidFill>
                  <a:schemeClr val="accent1"/>
                </a:solidFill>
              </a:ln>
              <a:effectLst/>
            </c:spPr>
          </c:marker>
          <c:dLbls>
            <c:dLbl>
              <c:idx val="0"/>
              <c:layout>
                <c:manualLayout>
                  <c:x val="-5.6576995218693561E-2"/>
                  <c:y val="-3.243891076611892E-2"/>
                </c:manualLayout>
              </c:layout>
              <c:tx>
                <c:rich>
                  <a:bodyPr/>
                  <a:lstStyle/>
                  <a:p>
                    <a:r>
                      <a:rPr lang="en-US"/>
                      <a:t>U.K</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64B-4DA4-B40A-B8218A5D69DC}"/>
                </c:ext>
              </c:extLst>
            </c:dLbl>
            <c:dLbl>
              <c:idx val="1"/>
              <c:layout>
                <c:manualLayout>
                  <c:x val="-1.9436522223107062E-2"/>
                  <c:y val="-8.3333333333333329E-2"/>
                </c:manualLayout>
              </c:layout>
              <c:tx>
                <c:rich>
                  <a:bodyPr/>
                  <a:lstStyle/>
                  <a:p>
                    <a:r>
                      <a:rPr lang="en-US"/>
                      <a:t>Netherlands</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764B-4DA4-B40A-B8218A5D69DC}"/>
                </c:ext>
              </c:extLst>
            </c:dLbl>
            <c:dLbl>
              <c:idx val="2"/>
              <c:layout>
                <c:manualLayout>
                  <c:x val="-6.9460192475940513E-2"/>
                  <c:y val="-0.13500947798191892"/>
                </c:manualLayout>
              </c:layout>
              <c:tx>
                <c:rich>
                  <a:bodyPr/>
                  <a:lstStyle/>
                  <a:p>
                    <a:r>
                      <a:rPr lang="en-US"/>
                      <a:t>Germany</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64B-4DA4-B40A-B8218A5D69DC}"/>
                </c:ext>
              </c:extLst>
            </c:dLbl>
            <c:dLbl>
              <c:idx val="3"/>
              <c:layout>
                <c:manualLayout>
                  <c:x val="-2.7774278215223096E-2"/>
                  <c:y val="-7.4022309711286094E-2"/>
                </c:manualLayout>
              </c:layout>
              <c:tx>
                <c:rich>
                  <a:bodyPr/>
                  <a:lstStyle/>
                  <a:p>
                    <a:r>
                      <a:rPr lang="en-US"/>
                      <a:t>Sweden</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64B-4DA4-B40A-B8218A5D69DC}"/>
                </c:ext>
              </c:extLst>
            </c:dLbl>
            <c:dLbl>
              <c:idx val="4"/>
              <c:tx>
                <c:rich>
                  <a:bodyPr/>
                  <a:lstStyle/>
                  <a:p>
                    <a:r>
                      <a:rPr lang="en-US"/>
                      <a:t>U.S.A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764B-4DA4-B40A-B8218A5D69DC}"/>
                </c:ext>
              </c:extLst>
            </c:dLbl>
            <c:dLbl>
              <c:idx val="5"/>
              <c:layout>
                <c:manualLayout>
                  <c:x val="-2.7777777777777776E-2"/>
                  <c:y val="8.3333333333333329E-2"/>
                </c:manualLayout>
              </c:layout>
              <c:tx>
                <c:rich>
                  <a:bodyPr/>
                  <a:lstStyle/>
                  <a:p>
                    <a:r>
                      <a:rPr lang="en-US"/>
                      <a:t>Belgium</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64B-4DA4-B40A-B8218A5D69DC}"/>
                </c:ext>
              </c:extLst>
            </c:dLbl>
            <c:dLbl>
              <c:idx val="6"/>
              <c:layout>
                <c:manualLayout>
                  <c:x val="-0.10833333333333338"/>
                  <c:y val="-9.7222222222222307E-2"/>
                </c:manualLayout>
              </c:layout>
              <c:tx>
                <c:rich>
                  <a:bodyPr/>
                  <a:lstStyle/>
                  <a:p>
                    <a:r>
                      <a:rPr lang="en-US"/>
                      <a:t>France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64B-4DA4-B40A-B8218A5D69DC}"/>
                </c:ext>
              </c:extLst>
            </c:dLbl>
            <c:dLbl>
              <c:idx val="7"/>
              <c:layout>
                <c:manualLayout>
                  <c:x val="-0.10138888888888889"/>
                  <c:y val="-0.15740758967629045"/>
                </c:manualLayout>
              </c:layout>
              <c:tx>
                <c:rich>
                  <a:bodyPr/>
                  <a:lstStyle/>
                  <a:p>
                    <a:r>
                      <a:rPr lang="en-US"/>
                      <a:t>Spain</a:t>
                    </a:r>
                  </a:p>
                </c:rich>
              </c:tx>
              <c:showLegendKey val="0"/>
              <c:showVal val="1"/>
              <c:showCatName val="0"/>
              <c:showSerName val="0"/>
              <c:showPercent val="0"/>
              <c:showBubbleSize val="0"/>
              <c:extLst>
                <c:ext xmlns:c15="http://schemas.microsoft.com/office/drawing/2012/chart" uri="{CE6537A1-D6FC-4f65-9D91-7224C49458BB}">
                  <c15:layout>
                    <c:manualLayout>
                      <c:w val="7.4916666666666673E-2"/>
                      <c:h val="6.4745552639253412E-2"/>
                    </c:manualLayout>
                  </c15:layout>
                  <c15:showDataLabelsRange val="0"/>
                </c:ext>
                <c:ext xmlns:c16="http://schemas.microsoft.com/office/drawing/2014/chart" uri="{C3380CC4-5D6E-409C-BE32-E72D297353CC}">
                  <c16:uniqueId val="{00000007-764B-4DA4-B40A-B8218A5D69DC}"/>
                </c:ext>
              </c:extLst>
            </c:dLbl>
            <c:dLbl>
              <c:idx val="8"/>
              <c:layout>
                <c:manualLayout>
                  <c:x val="-8.0555555555555561E-2"/>
                  <c:y val="0.13425925925925916"/>
                </c:manualLayout>
              </c:layout>
              <c:tx>
                <c:rich>
                  <a:bodyPr/>
                  <a:lstStyle/>
                  <a:p>
                    <a:r>
                      <a:rPr lang="en-US"/>
                      <a:t>Canada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764B-4DA4-B40A-B8218A5D69DC}"/>
                </c:ext>
              </c:extLst>
            </c:dLbl>
            <c:dLbl>
              <c:idx val="9"/>
              <c:tx>
                <c:rich>
                  <a:bodyPr/>
                  <a:lstStyle/>
                  <a:p>
                    <a:r>
                      <a:rPr lang="en-US"/>
                      <a:t>Australia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764B-4DA4-B40A-B8218A5D69DC}"/>
                </c:ext>
              </c:extLst>
            </c:dLbl>
            <c:dLbl>
              <c:idx val="10"/>
              <c:layout>
                <c:manualLayout>
                  <c:x val="-8.3333333333333835E-3"/>
                  <c:y val="-8.4875562720133283E-17"/>
                </c:manualLayout>
              </c:layout>
              <c:tx>
                <c:rich>
                  <a:bodyPr/>
                  <a:lstStyle/>
                  <a:p>
                    <a:r>
                      <a:rPr lang="en-US"/>
                      <a:t>South Korea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764B-4DA4-B40A-B8218A5D69DC}"/>
                </c:ext>
              </c:extLst>
            </c:dLbl>
            <c:dLbl>
              <c:idx val="11"/>
              <c:layout>
                <c:manualLayout>
                  <c:x val="-0.14444444444444443"/>
                  <c:y val="-4.6296296296296384E-2"/>
                </c:manualLayout>
              </c:layout>
              <c:tx>
                <c:rich>
                  <a:bodyPr/>
                  <a:lstStyle/>
                  <a:p>
                    <a:r>
                      <a:rPr lang="en-US"/>
                      <a:t>Kazakhstan</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764B-4DA4-B40A-B8218A5D69DC}"/>
                </c:ext>
              </c:extLst>
            </c:dLbl>
            <c:dLbl>
              <c:idx val="12"/>
              <c:layout>
                <c:manualLayout>
                  <c:x val="-5.8333333333333383E-2"/>
                  <c:y val="-2.7777777777777863E-2"/>
                </c:manualLayout>
              </c:layout>
              <c:tx>
                <c:rich>
                  <a:bodyPr/>
                  <a:lstStyle/>
                  <a:p>
                    <a:r>
                      <a:rPr lang="en-US"/>
                      <a:t>Poland</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764B-4DA4-B40A-B8218A5D69DC}"/>
                </c:ext>
              </c:extLst>
            </c:dLbl>
            <c:dLbl>
              <c:idx val="13"/>
              <c:layout>
                <c:manualLayout>
                  <c:x val="-2.7777777777777776E-2"/>
                  <c:y val="-8.7962962962963048E-2"/>
                </c:manualLayout>
              </c:layout>
              <c:tx>
                <c:rich>
                  <a:bodyPr/>
                  <a:lstStyle/>
                  <a:p>
                    <a:r>
                      <a:rPr lang="en-US"/>
                      <a:t>Russia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764B-4DA4-B40A-B8218A5D69DC}"/>
                </c:ext>
              </c:extLst>
            </c:dLbl>
            <c:dLbl>
              <c:idx val="14"/>
              <c:layout>
                <c:manualLayout>
                  <c:x val="-1.3888888888888888E-2"/>
                  <c:y val="8.3333333333333329E-2"/>
                </c:manualLayout>
              </c:layout>
              <c:tx>
                <c:rich>
                  <a:bodyPr/>
                  <a:lstStyle/>
                  <a:p>
                    <a:r>
                      <a:rPr lang="en-US"/>
                      <a:t>Taiwan</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764B-4DA4-B40A-B8218A5D69DC}"/>
                </c:ext>
              </c:extLst>
            </c:dLbl>
            <c:dLbl>
              <c:idx val="15"/>
              <c:layout>
                <c:manualLayout>
                  <c:x val="-5.5555555555555558E-3"/>
                  <c:y val="4.6296296296296294E-3"/>
                </c:manualLayout>
              </c:layout>
              <c:tx>
                <c:rich>
                  <a:bodyPr/>
                  <a:lstStyle/>
                  <a:p>
                    <a:r>
                      <a:rPr lang="en-US"/>
                      <a:t>Italy</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764B-4DA4-B40A-B8218A5D69DC}"/>
                </c:ext>
              </c:extLst>
            </c:dLbl>
            <c:dLbl>
              <c:idx val="16"/>
              <c:layout>
                <c:manualLayout>
                  <c:x val="-0.125"/>
                  <c:y val="-2.7777777777777776E-2"/>
                </c:manualLayout>
              </c:layout>
              <c:tx>
                <c:rich>
                  <a:bodyPr/>
                  <a:lstStyle/>
                  <a:p>
                    <a:r>
                      <a:rPr lang="en-US"/>
                      <a:t>Malaysia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764B-4DA4-B40A-B8218A5D69DC}"/>
                </c:ext>
              </c:extLst>
            </c:dLbl>
            <c:dLbl>
              <c:idx val="17"/>
              <c:layout>
                <c:manualLayout>
                  <c:x val="-4.9983814523184629E-2"/>
                  <c:y val="5.0095144356955383E-2"/>
                </c:manualLayout>
              </c:layout>
              <c:tx>
                <c:rich>
                  <a:bodyPr/>
                  <a:lstStyle/>
                  <a:p>
                    <a:r>
                      <a:rPr lang="en-US"/>
                      <a:t>China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764B-4DA4-B40A-B8218A5D69DC}"/>
                </c:ext>
              </c:extLst>
            </c:dLbl>
            <c:dLbl>
              <c:idx val="18"/>
              <c:layout>
                <c:manualLayout>
                  <c:x val="-5.8333333333333334E-2"/>
                  <c:y val="0.13888888888888898"/>
                </c:manualLayout>
              </c:layout>
              <c:tx>
                <c:rich>
                  <a:bodyPr/>
                  <a:lstStyle/>
                  <a:p>
                    <a:r>
                      <a:rPr lang="en-US"/>
                      <a:t>Japan</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2-764B-4DA4-B40A-B8218A5D69DC}"/>
                </c:ext>
              </c:extLst>
            </c:dLbl>
            <c:dLbl>
              <c:idx val="19"/>
              <c:layout>
                <c:manualLayout>
                  <c:x val="-2.7777777777777776E-2"/>
                  <c:y val="4.6296296296296294E-2"/>
                </c:manualLayout>
              </c:layout>
              <c:tx>
                <c:rich>
                  <a:bodyPr/>
                  <a:lstStyle/>
                  <a:p>
                    <a:r>
                      <a:rPr lang="en-US"/>
                      <a:t>Romania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764B-4DA4-B40A-B8218A5D69DC}"/>
                </c:ext>
              </c:extLst>
            </c:dLbl>
            <c:dLbl>
              <c:idx val="20"/>
              <c:layout>
                <c:manualLayout>
                  <c:x val="-8.3333333333333332E-3"/>
                  <c:y val="2.777777777777761E-2"/>
                </c:manualLayout>
              </c:layout>
              <c:tx>
                <c:rich>
                  <a:bodyPr/>
                  <a:lstStyle/>
                  <a:p>
                    <a:r>
                      <a:rPr lang="en-US"/>
                      <a:t>India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4-764B-4DA4-B40A-B8218A5D69DC}"/>
                </c:ext>
              </c:extLst>
            </c:dLbl>
            <c:dLbl>
              <c:idx val="21"/>
              <c:layout>
                <c:manualLayout>
                  <c:x val="-2.7777777777777776E-2"/>
                  <c:y val="-8.7962962962963048E-2"/>
                </c:manualLayout>
              </c:layout>
              <c:tx>
                <c:rich>
                  <a:bodyPr/>
                  <a:lstStyle/>
                  <a:p>
                    <a:r>
                      <a:rPr lang="en-US"/>
                      <a:t>Nigeria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5-764B-4DA4-B40A-B8218A5D69DC}"/>
                </c:ext>
              </c:extLst>
            </c:dLbl>
            <c:dLbl>
              <c:idx val="22"/>
              <c:layout>
                <c:manualLayout>
                  <c:x val="-8.3333333333333329E-2"/>
                  <c:y val="-4.1666666666666706E-2"/>
                </c:manualLayout>
              </c:layout>
              <c:tx>
                <c:rich>
                  <a:bodyPr/>
                  <a:lstStyle/>
                  <a:p>
                    <a:r>
                      <a:rPr lang="en-US"/>
                      <a:t>Singapore</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6-764B-4DA4-B40A-B8218A5D69D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og"/>
            <c:dispRSqr val="0"/>
            <c:dispEq val="0"/>
          </c:trendline>
          <c:xVal>
            <c:numRef>
              <c:f>'Smartphone - GDP per Capita'!$G$19:$G$41</c:f>
              <c:numCache>
                <c:formatCode>_(* #,##0_);_(* \(#,##0\);_(* "-"??_);_(@_)</c:formatCode>
                <c:ptCount val="23"/>
                <c:pt idx="0">
                  <c:v>53340</c:v>
                </c:pt>
                <c:pt idx="1">
                  <c:v>67690</c:v>
                </c:pt>
                <c:pt idx="2">
                  <c:v>56090</c:v>
                </c:pt>
                <c:pt idx="3">
                  <c:v>57130</c:v>
                </c:pt>
                <c:pt idx="4">
                  <c:v>86170</c:v>
                </c:pt>
                <c:pt idx="5">
                  <c:v>56800</c:v>
                </c:pt>
                <c:pt idx="6">
                  <c:v>46050</c:v>
                </c:pt>
                <c:pt idx="7">
                  <c:v>35150</c:v>
                </c:pt>
                <c:pt idx="8">
                  <c:v>55210</c:v>
                </c:pt>
                <c:pt idx="9">
                  <c:v>65700</c:v>
                </c:pt>
                <c:pt idx="10">
                  <c:v>36240</c:v>
                </c:pt>
                <c:pt idx="11">
                  <c:v>14460</c:v>
                </c:pt>
                <c:pt idx="12">
                  <c:v>25060</c:v>
                </c:pt>
                <c:pt idx="13">
                  <c:v>15090</c:v>
                </c:pt>
                <c:pt idx="14">
                  <c:v>34250</c:v>
                </c:pt>
                <c:pt idx="15">
                  <c:v>40600</c:v>
                </c:pt>
                <c:pt idx="16">
                  <c:v>12620</c:v>
                </c:pt>
                <c:pt idx="17">
                  <c:v>13450</c:v>
                </c:pt>
                <c:pt idx="18">
                  <c:v>33820</c:v>
                </c:pt>
                <c:pt idx="19">
                  <c:v>20200</c:v>
                </c:pt>
                <c:pt idx="20">
                  <c:v>2590</c:v>
                </c:pt>
                <c:pt idx="21">
                  <c:v>1080</c:v>
                </c:pt>
                <c:pt idx="22">
                  <c:v>94900</c:v>
                </c:pt>
              </c:numCache>
            </c:numRef>
          </c:xVal>
          <c:yVal>
            <c:numRef>
              <c:f>'Smartphone - GDP per Capita'!$E$19:$E$41</c:f>
              <c:numCache>
                <c:formatCode>0.0%</c:formatCode>
                <c:ptCount val="23"/>
                <c:pt idx="0">
                  <c:v>0.82132132132132141</c:v>
                </c:pt>
                <c:pt idx="1">
                  <c:v>0.78947368421052622</c:v>
                </c:pt>
                <c:pt idx="2">
                  <c:v>0.78736330498177398</c:v>
                </c:pt>
                <c:pt idx="3">
                  <c:v>0.79</c:v>
                </c:pt>
                <c:pt idx="4">
                  <c:v>0.77019583843329242</c:v>
                </c:pt>
                <c:pt idx="5">
                  <c:v>0.76521739130434785</c:v>
                </c:pt>
                <c:pt idx="6">
                  <c:v>0.76073619631901834</c:v>
                </c:pt>
                <c:pt idx="7">
                  <c:v>0.72413793103448276</c:v>
                </c:pt>
                <c:pt idx="8">
                  <c:v>0.7189189189189189</c:v>
                </c:pt>
                <c:pt idx="9">
                  <c:v>0.68548387096774188</c:v>
                </c:pt>
                <c:pt idx="10">
                  <c:v>0.67578125</c:v>
                </c:pt>
                <c:pt idx="11">
                  <c:v>0.64673913043478271</c:v>
                </c:pt>
                <c:pt idx="12">
                  <c:v>0.64041994750656162</c:v>
                </c:pt>
                <c:pt idx="13">
                  <c:v>0.63819444444444451</c:v>
                </c:pt>
                <c:pt idx="14">
                  <c:v>0.59915611814345993</c:v>
                </c:pt>
                <c:pt idx="15">
                  <c:v>0.5801011804384486</c:v>
                </c:pt>
                <c:pt idx="16">
                  <c:v>0.57499999999999996</c:v>
                </c:pt>
                <c:pt idx="17">
                  <c:v>0.55321554770318015</c:v>
                </c:pt>
                <c:pt idx="18">
                  <c:v>0.55267295597484278</c:v>
                </c:pt>
                <c:pt idx="19">
                  <c:v>0.5357142857142857</c:v>
                </c:pt>
                <c:pt idx="20">
                  <c:v>0.25855172413793104</c:v>
                </c:pt>
                <c:pt idx="21">
                  <c:v>0.27</c:v>
                </c:pt>
                <c:pt idx="22" formatCode="0.00%">
                  <c:v>0.96469999999999989</c:v>
                </c:pt>
              </c:numCache>
            </c:numRef>
          </c:yVal>
          <c:smooth val="0"/>
          <c:extLst>
            <c:ext xmlns:c16="http://schemas.microsoft.com/office/drawing/2014/chart" uri="{C3380CC4-5D6E-409C-BE32-E72D297353CC}">
              <c16:uniqueId val="{00000018-764B-4DA4-B40A-B8218A5D69DC}"/>
            </c:ext>
          </c:extLst>
        </c:ser>
        <c:dLbls>
          <c:showLegendKey val="0"/>
          <c:showVal val="0"/>
          <c:showCatName val="0"/>
          <c:showSerName val="0"/>
          <c:showPercent val="0"/>
          <c:showBubbleSize val="0"/>
        </c:dLbls>
        <c:axId val="1535794671"/>
        <c:axId val="734208527"/>
      </c:scatterChart>
      <c:valAx>
        <c:axId val="1535794671"/>
        <c:scaling>
          <c:orientation val="minMax"/>
        </c:scaling>
        <c:delete val="0"/>
        <c:axPos val="b"/>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4208527"/>
        <c:crosses val="autoZero"/>
        <c:crossBetween val="midCat"/>
      </c:valAx>
      <c:valAx>
        <c:axId val="734208527"/>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79467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3149</Words>
  <Characters>17950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Simba Choga</cp:lastModifiedBy>
  <cp:revision>10</cp:revision>
  <dcterms:created xsi:type="dcterms:W3CDTF">2013-12-23T23:15:00Z</dcterms:created>
  <dcterms:modified xsi:type="dcterms:W3CDTF">2026-10-30T01:20:00Z</dcterms:modified>
  <cp:category/>
</cp:coreProperties>
</file>