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ayout w:type="fixed"/>
        <w:tblLook w:val="04A0" w:firstRow="1" w:lastRow="0" w:firstColumn="1" w:lastColumn="0" w:noHBand="0" w:noVBand="1"/>
      </w:tblPr>
      <w:tblGrid>
        <w:gridCol w:w="2304"/>
        <w:gridCol w:w="7200"/>
      </w:tblGrid>
      <w:tr w:rsidR="009C0B43" w14:paraId="7ACEA59E" w14:textId="77777777">
        <w:tc>
          <w:tcPr>
            <w:tcW w:w="2304" w:type="dxa"/>
            <w:tcBorders>
              <w:top w:val="nil"/>
              <w:left w:val="nil"/>
              <w:bottom w:val="nil"/>
              <w:right w:val="nil"/>
            </w:tcBorders>
          </w:tcPr>
          <w:p w14:paraId="61423028" w14:textId="14656452" w:rsidR="009C0B43" w:rsidRDefault="00A70B77">
            <w:r>
              <w:rPr>
                <w:noProof/>
              </w:rPr>
              <w:drawing>
                <wp:inline distT="0" distB="0" distL="0" distR="0" wp14:anchorId="10C6643A" wp14:editId="25FFAEA8">
                  <wp:extent cx="748893" cy="889311"/>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62893" cy="1143436"/>
                          </a:xfrm>
                          <a:prstGeom prst="rect">
                            <a:avLst/>
                          </a:prstGeom>
                          <a:noFill/>
                          <a:ln>
                            <a:noFill/>
                          </a:ln>
                        </pic:spPr>
                      </pic:pic>
                    </a:graphicData>
                  </a:graphic>
                </wp:inline>
              </w:drawing>
            </w:r>
          </w:p>
        </w:tc>
        <w:tc>
          <w:tcPr>
            <w:tcW w:w="7200" w:type="dxa"/>
            <w:tcBorders>
              <w:top w:val="nil"/>
              <w:left w:val="nil"/>
              <w:bottom w:val="nil"/>
              <w:right w:val="nil"/>
            </w:tcBorders>
          </w:tcPr>
          <w:p w14:paraId="433E5D20" w14:textId="77777777" w:rsidR="009C0B43" w:rsidRDefault="009C0B43"/>
          <w:p w14:paraId="4A87725C" w14:textId="04023398" w:rsidR="002F1EFC" w:rsidRDefault="00CD7A2E">
            <w:pPr>
              <w:pStyle w:val="Title"/>
              <w:spacing w:before="100" w:after="60"/>
              <w:jc w:val="center"/>
            </w:pPr>
            <w:r>
              <w:rPr>
                <w:sz w:val="42"/>
              </w:rPr>
              <w:t>APPLE INC.</w:t>
            </w:r>
          </w:p>
          <w:p w14:paraId="493B162D" w14:textId="77777777" w:rsidR="002F1EFC" w:rsidRDefault="00000000">
            <w:pPr>
              <w:spacing w:after="240"/>
              <w:jc w:val="center"/>
            </w:pPr>
            <w:r>
              <w:t>Equity Research Investment Thesis | AAPL | NASDAQ</w:t>
            </w:r>
          </w:p>
        </w:tc>
      </w:tr>
    </w:tbl>
    <w:p w14:paraId="64B4A677" w14:textId="77777777" w:rsidR="002F1EFC" w:rsidRDefault="00000000">
      <w:pPr>
        <w:pStyle w:val="Heading2"/>
      </w:pPr>
      <w:r>
        <w:t>Investment View | HOLD (model-based, conditional)</w:t>
      </w:r>
    </w:p>
    <w:p w14:paraId="01631E0B" w14:textId="77777777" w:rsidR="002F1EFC" w:rsidRDefault="00000000">
      <w:r>
        <w:t>Apple has a broad hardware and services business. The supplied research shows meaningful services growth, while its valuation depends heavily on the terminal-value method. The primary exit-multiple DCF value is below the October 8, 2026 price. A HOLD is therefore a cautious interpretation of the supplied model, not an independent live-price recommendation. No updated market price or external consensus estimates were used.</w:t>
      </w:r>
    </w:p>
    <w:tbl>
      <w:tblPr>
        <w:tblStyle w:val="LightShading-Accent1"/>
        <w:tblW w:w="0" w:type="auto"/>
        <w:tblLook w:val="04A0" w:firstRow="1" w:lastRow="0" w:firstColumn="1" w:lastColumn="0" w:noHBand="0" w:noVBand="1"/>
      </w:tblPr>
      <w:tblGrid>
        <w:gridCol w:w="4320"/>
        <w:gridCol w:w="4320"/>
      </w:tblGrid>
      <w:tr w:rsidR="002F1EFC" w14:paraId="4BD221A2" w14:textId="77777777" w:rsidTr="002F1E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70369B"/>
          </w:tcPr>
          <w:p w14:paraId="5284344F" w14:textId="77777777" w:rsidR="002F1EFC" w:rsidRDefault="00000000">
            <w:r>
              <w:rPr>
                <w:color w:val="FFFFFF"/>
              </w:rPr>
              <w:t>Key measure</w:t>
            </w:r>
          </w:p>
        </w:tc>
        <w:tc>
          <w:tcPr>
            <w:tcW w:w="4320" w:type="dxa"/>
            <w:shd w:val="clear" w:color="auto" w:fill="70369B"/>
          </w:tcPr>
          <w:p w14:paraId="34D789E7" w14:textId="77777777" w:rsidR="002F1EFC" w:rsidRDefault="00000000">
            <w:pPr>
              <w:cnfStyle w:val="100000000000" w:firstRow="1" w:lastRow="0" w:firstColumn="0" w:lastColumn="0" w:oddVBand="0" w:evenVBand="0" w:oddHBand="0" w:evenHBand="0" w:firstRowFirstColumn="0" w:firstRowLastColumn="0" w:lastRowFirstColumn="0" w:lastRowLastColumn="0"/>
            </w:pPr>
            <w:r>
              <w:rPr>
                <w:color w:val="FFFFFF"/>
              </w:rPr>
              <w:t>Value / basis</w:t>
            </w:r>
          </w:p>
        </w:tc>
      </w:tr>
      <w:tr w:rsidR="002F1EFC" w14:paraId="12BC91FE" w14:textId="77777777" w:rsidTr="002F1E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7611EF7" w14:textId="77777777" w:rsidR="002F1EFC" w:rsidRDefault="00000000">
            <w:r>
              <w:t>Reference share price</w:t>
            </w:r>
          </w:p>
        </w:tc>
        <w:tc>
          <w:tcPr>
            <w:tcW w:w="4320" w:type="dxa"/>
          </w:tcPr>
          <w:p w14:paraId="43EDBEC6" w14:textId="77777777" w:rsidR="002F1EFC" w:rsidRDefault="00000000">
            <w:pPr>
              <w:cnfStyle w:val="000000100000" w:firstRow="0" w:lastRow="0" w:firstColumn="0" w:lastColumn="0" w:oddVBand="0" w:evenVBand="0" w:oddHBand="1" w:evenHBand="0" w:firstRowFirstColumn="0" w:firstRowLastColumn="0" w:lastRowFirstColumn="0" w:lastRowLastColumn="0"/>
            </w:pPr>
            <w:r>
              <w:t>$340.42 | model pricing date: 8 October 2026</w:t>
            </w:r>
          </w:p>
        </w:tc>
      </w:tr>
      <w:tr w:rsidR="002F1EFC" w14:paraId="022ADF48" w14:textId="77777777" w:rsidTr="002F1EFC">
        <w:tc>
          <w:tcPr>
            <w:cnfStyle w:val="001000000000" w:firstRow="0" w:lastRow="0" w:firstColumn="1" w:lastColumn="0" w:oddVBand="0" w:evenVBand="0" w:oddHBand="0" w:evenHBand="0" w:firstRowFirstColumn="0" w:firstRowLastColumn="0" w:lastRowFirstColumn="0" w:lastRowLastColumn="0"/>
            <w:tcW w:w="4320" w:type="dxa"/>
          </w:tcPr>
          <w:p w14:paraId="67396B81" w14:textId="77777777" w:rsidR="002F1EFC" w:rsidRDefault="00000000">
            <w:r>
              <w:t>Exit-multiple DCF, rolled forward</w:t>
            </w:r>
          </w:p>
        </w:tc>
        <w:tc>
          <w:tcPr>
            <w:tcW w:w="4320" w:type="dxa"/>
          </w:tcPr>
          <w:p w14:paraId="20DE107A" w14:textId="77777777" w:rsidR="002F1EFC" w:rsidRDefault="00000000">
            <w:pPr>
              <w:cnfStyle w:val="000000000000" w:firstRow="0" w:lastRow="0" w:firstColumn="0" w:lastColumn="0" w:oddVBand="0" w:evenVBand="0" w:oddHBand="0" w:evenHBand="0" w:firstRowFirstColumn="0" w:firstRowLastColumn="0" w:lastRowFirstColumn="0" w:lastRowLastColumn="0"/>
            </w:pPr>
            <w:r>
              <w:t>$317.79 per share | 6.6% downside</w:t>
            </w:r>
          </w:p>
        </w:tc>
      </w:tr>
      <w:tr w:rsidR="002F1EFC" w14:paraId="32E0224F" w14:textId="77777777" w:rsidTr="002F1E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1C48128" w14:textId="77777777" w:rsidR="002F1EFC" w:rsidRDefault="00000000">
            <w:r>
              <w:t>Perpetuity DCF, rolled forward</w:t>
            </w:r>
          </w:p>
        </w:tc>
        <w:tc>
          <w:tcPr>
            <w:tcW w:w="4320" w:type="dxa"/>
          </w:tcPr>
          <w:p w14:paraId="2A9BB79F" w14:textId="77777777" w:rsidR="002F1EFC" w:rsidRDefault="00000000">
            <w:pPr>
              <w:cnfStyle w:val="000000100000" w:firstRow="0" w:lastRow="0" w:firstColumn="0" w:lastColumn="0" w:oddVBand="0" w:evenVBand="0" w:oddHBand="1" w:evenHBand="0" w:firstRowFirstColumn="0" w:firstRowLastColumn="0" w:lastRowFirstColumn="0" w:lastRowLastColumn="0"/>
            </w:pPr>
            <w:r>
              <w:t>$147.41 per share | 56.7% downside</w:t>
            </w:r>
          </w:p>
        </w:tc>
      </w:tr>
      <w:tr w:rsidR="002F1EFC" w14:paraId="0E2A0594" w14:textId="77777777" w:rsidTr="002F1EFC">
        <w:tc>
          <w:tcPr>
            <w:cnfStyle w:val="001000000000" w:firstRow="0" w:lastRow="0" w:firstColumn="1" w:lastColumn="0" w:oddVBand="0" w:evenVBand="0" w:oddHBand="0" w:evenHBand="0" w:firstRowFirstColumn="0" w:firstRowLastColumn="0" w:lastRowFirstColumn="0" w:lastRowLastColumn="0"/>
            <w:tcW w:w="4320" w:type="dxa"/>
          </w:tcPr>
          <w:p w14:paraId="5B90F87B" w14:textId="77777777" w:rsidR="002F1EFC" w:rsidRDefault="00000000">
            <w:r>
              <w:t>Model WACC</w:t>
            </w:r>
          </w:p>
        </w:tc>
        <w:tc>
          <w:tcPr>
            <w:tcW w:w="4320" w:type="dxa"/>
          </w:tcPr>
          <w:p w14:paraId="639960F8" w14:textId="77777777" w:rsidR="002F1EFC" w:rsidRDefault="00000000">
            <w:pPr>
              <w:cnfStyle w:val="000000000000" w:firstRow="0" w:lastRow="0" w:firstColumn="0" w:lastColumn="0" w:oddVBand="0" w:evenVBand="0" w:oddHBand="0" w:evenHBand="0" w:firstRowFirstColumn="0" w:firstRowLastColumn="0" w:lastRowFirstColumn="0" w:lastRowLastColumn="0"/>
            </w:pPr>
            <w:r>
              <w:t>10.08%</w:t>
            </w:r>
          </w:p>
        </w:tc>
      </w:tr>
      <w:tr w:rsidR="002F1EFC" w14:paraId="31E71276" w14:textId="77777777" w:rsidTr="002F1E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D24BF6D" w14:textId="77777777" w:rsidR="002F1EFC" w:rsidRDefault="00000000">
            <w:r>
              <w:t>Exit EV / EBITDA</w:t>
            </w:r>
          </w:p>
        </w:tc>
        <w:tc>
          <w:tcPr>
            <w:tcW w:w="4320" w:type="dxa"/>
          </w:tcPr>
          <w:p w14:paraId="05D0AF70" w14:textId="77777777" w:rsidR="002F1EFC" w:rsidRDefault="00000000">
            <w:pPr>
              <w:cnfStyle w:val="000000100000" w:firstRow="0" w:lastRow="0" w:firstColumn="0" w:lastColumn="0" w:oddVBand="0" w:evenVBand="0" w:oddHBand="1" w:evenHBand="0" w:firstRowFirstColumn="0" w:firstRowLastColumn="0" w:lastRowFirstColumn="0" w:lastRowLastColumn="0"/>
            </w:pPr>
            <w:r>
              <w:t>29.38x</w:t>
            </w:r>
          </w:p>
        </w:tc>
      </w:tr>
      <w:tr w:rsidR="002F1EFC" w14:paraId="5C452057" w14:textId="77777777" w:rsidTr="002F1EFC">
        <w:tc>
          <w:tcPr>
            <w:cnfStyle w:val="001000000000" w:firstRow="0" w:lastRow="0" w:firstColumn="1" w:lastColumn="0" w:oddVBand="0" w:evenVBand="0" w:oddHBand="0" w:evenHBand="0" w:firstRowFirstColumn="0" w:firstRowLastColumn="0" w:lastRowFirstColumn="0" w:lastRowLastColumn="0"/>
            <w:tcW w:w="4320" w:type="dxa"/>
          </w:tcPr>
          <w:p w14:paraId="08BC0A3E" w14:textId="77777777" w:rsidR="002F1EFC" w:rsidRDefault="00000000">
            <w:r>
              <w:t>Perpetual growth</w:t>
            </w:r>
          </w:p>
        </w:tc>
        <w:tc>
          <w:tcPr>
            <w:tcW w:w="4320" w:type="dxa"/>
          </w:tcPr>
          <w:p w14:paraId="30E1AA0A" w14:textId="77777777" w:rsidR="002F1EFC" w:rsidRDefault="00000000">
            <w:pPr>
              <w:cnfStyle w:val="000000000000" w:firstRow="0" w:lastRow="0" w:firstColumn="0" w:lastColumn="0" w:oddVBand="0" w:evenVBand="0" w:oddHBand="0" w:evenHBand="0" w:firstRowFirstColumn="0" w:firstRowLastColumn="0" w:lastRowFirstColumn="0" w:lastRowLastColumn="0"/>
            </w:pPr>
            <w:r>
              <w:t>3.0%</w:t>
            </w:r>
          </w:p>
        </w:tc>
      </w:tr>
      <w:tr w:rsidR="002F1EFC" w14:paraId="4818AA25" w14:textId="77777777" w:rsidTr="002F1E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2F69A39" w14:textId="77777777" w:rsidR="002F1EFC" w:rsidRDefault="00000000">
            <w:r>
              <w:t>Forecast period</w:t>
            </w:r>
          </w:p>
        </w:tc>
        <w:tc>
          <w:tcPr>
            <w:tcW w:w="4320" w:type="dxa"/>
          </w:tcPr>
          <w:p w14:paraId="298756C6" w14:textId="77777777" w:rsidR="002F1EFC" w:rsidRDefault="00000000">
            <w:pPr>
              <w:cnfStyle w:val="000000100000" w:firstRow="0" w:lastRow="0" w:firstColumn="0" w:lastColumn="0" w:oddVBand="0" w:evenVBand="0" w:oddHBand="1" w:evenHBand="0" w:firstRowFirstColumn="0" w:firstRowLastColumn="0" w:lastRowFirstColumn="0" w:lastRowLastColumn="0"/>
            </w:pPr>
            <w:r>
              <w:t>FY2026E–FY2030E</w:t>
            </w:r>
          </w:p>
        </w:tc>
      </w:tr>
    </w:tbl>
    <w:p w14:paraId="75441A77" w14:textId="77777777" w:rsidR="009C0B43" w:rsidRDefault="00000000">
      <w:pPr>
        <w:spacing w:before="40" w:after="100"/>
      </w:pPr>
      <w:r>
        <w:rPr>
          <w:i/>
          <w:color w:val="5F5F5F"/>
          <w:sz w:val="15"/>
        </w:rPr>
        <w:t>Source: aApple DCF(4).xlsx, Valuation; model assumptions and pricing outputs.</w:t>
      </w:r>
    </w:p>
    <w:p w14:paraId="50B83CF1" w14:textId="77777777" w:rsidR="002F1EFC" w:rsidRDefault="00000000">
      <w:pPr>
        <w:pStyle w:val="Heading1"/>
      </w:pPr>
      <w:r>
        <w:t>Thesis in Three Points</w:t>
      </w:r>
    </w:p>
    <w:p w14:paraId="4706D12D" w14:textId="77777777" w:rsidR="002F1EFC" w:rsidRDefault="00000000">
      <w:r>
        <w:t>1. Services is an important source of growth. The product revenue workbook records FY2025 services sales of $109.16bn, up from $96.17bn in FY2024. This supports a growing recurring-revenue component, although the workbook does not establish the profitability of every individual service.</w:t>
      </w:r>
    </w:p>
    <w:p w14:paraId="6B938D34" w14:textId="77777777" w:rsidR="002F1EFC" w:rsidRDefault="00000000">
      <w:r>
        <w:t>2. Hardware remains economically central. iPhone revenue of $209.59bn in FY2025 is far larger than any other single product line in the dataset. Apple remains exposed to the replacement cycle, consumer spending and premium-device demand.</w:t>
      </w:r>
    </w:p>
    <w:p w14:paraId="169CE646" w14:textId="77777777" w:rsidR="002F1EFC" w:rsidRDefault="00000000">
      <w:r>
        <w:t>3. Valuation leaves little room for error. The exit-multiple valuation is closer to the reference price than the perpetuity method. The wide gap signals major terminal-assumption risk rather than a narrow, reliable fair-value range.</w:t>
      </w:r>
    </w:p>
    <w:p w14:paraId="1C3AD1F1" w14:textId="77777777" w:rsidR="002F1EFC" w:rsidRDefault="00000000">
      <w:pPr>
        <w:pStyle w:val="Heading1"/>
      </w:pPr>
      <w:r>
        <w:t>1. Business Model and Revenue Mix</w:t>
      </w:r>
    </w:p>
    <w:p w14:paraId="1794BB1B" w14:textId="77777777" w:rsidR="002F1EFC" w:rsidRDefault="00000000">
      <w:r>
        <w:t>Apple sells devices and related services. The supplied product series separates iPhone, Mac, iPad, Wearables, Home &amp; Accessories, and Services. Its research also covers company history, geographic sales, debt, capital expenditure and product volumes. Hardware sales provide the installed base from which services may earn revenue; the data do not allow us to isolate the causal impact of the installed base on services spending.</w:t>
      </w:r>
    </w:p>
    <w:tbl>
      <w:tblPr>
        <w:tblStyle w:val="LightShading-Accent1"/>
        <w:tblW w:w="0" w:type="auto"/>
        <w:tblLook w:val="04A0" w:firstRow="1" w:lastRow="0" w:firstColumn="1" w:lastColumn="0" w:noHBand="0" w:noVBand="1"/>
      </w:tblPr>
      <w:tblGrid>
        <w:gridCol w:w="2160"/>
        <w:gridCol w:w="2160"/>
        <w:gridCol w:w="2160"/>
        <w:gridCol w:w="2160"/>
      </w:tblGrid>
      <w:tr w:rsidR="002F1EFC" w14:paraId="55CAD422" w14:textId="77777777" w:rsidTr="002F1E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shd w:val="clear" w:color="auto" w:fill="70369B"/>
          </w:tcPr>
          <w:p w14:paraId="3FDAC942" w14:textId="77777777" w:rsidR="002F1EFC" w:rsidRDefault="00000000">
            <w:r>
              <w:rPr>
                <w:color w:val="FFFFFF"/>
              </w:rPr>
              <w:t>Product line</w:t>
            </w:r>
          </w:p>
        </w:tc>
        <w:tc>
          <w:tcPr>
            <w:tcW w:w="2160" w:type="dxa"/>
            <w:shd w:val="clear" w:color="auto" w:fill="70369B"/>
          </w:tcPr>
          <w:p w14:paraId="4767C9A2" w14:textId="77777777" w:rsidR="002F1EFC" w:rsidRDefault="00000000">
            <w:pPr>
              <w:cnfStyle w:val="100000000000" w:firstRow="1" w:lastRow="0" w:firstColumn="0" w:lastColumn="0" w:oddVBand="0" w:evenVBand="0" w:oddHBand="0" w:evenHBand="0" w:firstRowFirstColumn="0" w:firstRowLastColumn="0" w:lastRowFirstColumn="0" w:lastRowLastColumn="0"/>
            </w:pPr>
            <w:r>
              <w:rPr>
                <w:color w:val="FFFFFF"/>
              </w:rPr>
              <w:t>FY2024A</w:t>
            </w:r>
          </w:p>
        </w:tc>
        <w:tc>
          <w:tcPr>
            <w:tcW w:w="2160" w:type="dxa"/>
            <w:shd w:val="clear" w:color="auto" w:fill="70369B"/>
          </w:tcPr>
          <w:p w14:paraId="73AF31D3" w14:textId="77777777" w:rsidR="002F1EFC" w:rsidRDefault="00000000">
            <w:pPr>
              <w:cnfStyle w:val="100000000000" w:firstRow="1" w:lastRow="0" w:firstColumn="0" w:lastColumn="0" w:oddVBand="0" w:evenVBand="0" w:oddHBand="0" w:evenHBand="0" w:firstRowFirstColumn="0" w:firstRowLastColumn="0" w:lastRowFirstColumn="0" w:lastRowLastColumn="0"/>
            </w:pPr>
            <w:r>
              <w:rPr>
                <w:color w:val="FFFFFF"/>
              </w:rPr>
              <w:t>FY2025A</w:t>
            </w:r>
          </w:p>
        </w:tc>
        <w:tc>
          <w:tcPr>
            <w:tcW w:w="2160" w:type="dxa"/>
            <w:shd w:val="clear" w:color="auto" w:fill="70369B"/>
          </w:tcPr>
          <w:p w14:paraId="23177406" w14:textId="77777777" w:rsidR="002F1EFC" w:rsidRDefault="00000000">
            <w:pPr>
              <w:cnfStyle w:val="100000000000" w:firstRow="1" w:lastRow="0" w:firstColumn="0" w:lastColumn="0" w:oddVBand="0" w:evenVBand="0" w:oddHBand="0" w:evenHBand="0" w:firstRowFirstColumn="0" w:firstRowLastColumn="0" w:lastRowFirstColumn="0" w:lastRowLastColumn="0"/>
            </w:pPr>
            <w:r>
              <w:rPr>
                <w:color w:val="FFFFFF"/>
              </w:rPr>
              <w:t>Growth</w:t>
            </w:r>
          </w:p>
        </w:tc>
      </w:tr>
      <w:tr w:rsidR="002F1EFC" w14:paraId="155B518C" w14:textId="77777777" w:rsidTr="002F1E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13900E7" w14:textId="77777777" w:rsidR="002F1EFC" w:rsidRDefault="00000000">
            <w:r>
              <w:t>iPhone</w:t>
            </w:r>
          </w:p>
        </w:tc>
        <w:tc>
          <w:tcPr>
            <w:tcW w:w="2160" w:type="dxa"/>
          </w:tcPr>
          <w:p w14:paraId="62E494FA" w14:textId="77777777" w:rsidR="002F1EFC" w:rsidRDefault="00000000">
            <w:pPr>
              <w:cnfStyle w:val="000000100000" w:firstRow="0" w:lastRow="0" w:firstColumn="0" w:lastColumn="0" w:oddVBand="0" w:evenVBand="0" w:oddHBand="1" w:evenHBand="0" w:firstRowFirstColumn="0" w:firstRowLastColumn="0" w:lastRowFirstColumn="0" w:lastRowLastColumn="0"/>
            </w:pPr>
            <w:r>
              <w:t>$201.2bn</w:t>
            </w:r>
          </w:p>
        </w:tc>
        <w:tc>
          <w:tcPr>
            <w:tcW w:w="2160" w:type="dxa"/>
          </w:tcPr>
          <w:p w14:paraId="76342CB5" w14:textId="77777777" w:rsidR="002F1EFC" w:rsidRDefault="00000000">
            <w:pPr>
              <w:cnfStyle w:val="000000100000" w:firstRow="0" w:lastRow="0" w:firstColumn="0" w:lastColumn="0" w:oddVBand="0" w:evenVBand="0" w:oddHBand="1" w:evenHBand="0" w:firstRowFirstColumn="0" w:firstRowLastColumn="0" w:lastRowFirstColumn="0" w:lastRowLastColumn="0"/>
            </w:pPr>
            <w:r>
              <w:t>$209.6bn</w:t>
            </w:r>
          </w:p>
        </w:tc>
        <w:tc>
          <w:tcPr>
            <w:tcW w:w="2160" w:type="dxa"/>
          </w:tcPr>
          <w:p w14:paraId="4AA41F8D" w14:textId="77777777" w:rsidR="002F1EFC" w:rsidRDefault="00000000">
            <w:pPr>
              <w:cnfStyle w:val="000000100000" w:firstRow="0" w:lastRow="0" w:firstColumn="0" w:lastColumn="0" w:oddVBand="0" w:evenVBand="0" w:oddHBand="1" w:evenHBand="0" w:firstRowFirstColumn="0" w:firstRowLastColumn="0" w:lastRowFirstColumn="0" w:lastRowLastColumn="0"/>
            </w:pPr>
            <w:r>
              <w:t>4.2%</w:t>
            </w:r>
          </w:p>
        </w:tc>
      </w:tr>
      <w:tr w:rsidR="002F1EFC" w14:paraId="596A8762" w14:textId="77777777" w:rsidTr="002F1EFC">
        <w:tc>
          <w:tcPr>
            <w:cnfStyle w:val="001000000000" w:firstRow="0" w:lastRow="0" w:firstColumn="1" w:lastColumn="0" w:oddVBand="0" w:evenVBand="0" w:oddHBand="0" w:evenHBand="0" w:firstRowFirstColumn="0" w:firstRowLastColumn="0" w:lastRowFirstColumn="0" w:lastRowLastColumn="0"/>
            <w:tcW w:w="2160" w:type="dxa"/>
          </w:tcPr>
          <w:p w14:paraId="6B541BDB" w14:textId="77777777" w:rsidR="002F1EFC" w:rsidRDefault="00000000">
            <w:r>
              <w:t>Mac</w:t>
            </w:r>
          </w:p>
        </w:tc>
        <w:tc>
          <w:tcPr>
            <w:tcW w:w="2160" w:type="dxa"/>
          </w:tcPr>
          <w:p w14:paraId="14BDA303" w14:textId="77777777" w:rsidR="002F1EFC" w:rsidRDefault="00000000">
            <w:pPr>
              <w:cnfStyle w:val="000000000000" w:firstRow="0" w:lastRow="0" w:firstColumn="0" w:lastColumn="0" w:oddVBand="0" w:evenVBand="0" w:oddHBand="0" w:evenHBand="0" w:firstRowFirstColumn="0" w:firstRowLastColumn="0" w:lastRowFirstColumn="0" w:lastRowLastColumn="0"/>
            </w:pPr>
            <w:r>
              <w:t>$30.0bn</w:t>
            </w:r>
          </w:p>
        </w:tc>
        <w:tc>
          <w:tcPr>
            <w:tcW w:w="2160" w:type="dxa"/>
          </w:tcPr>
          <w:p w14:paraId="4A2366B5" w14:textId="77777777" w:rsidR="002F1EFC" w:rsidRDefault="00000000">
            <w:pPr>
              <w:cnfStyle w:val="000000000000" w:firstRow="0" w:lastRow="0" w:firstColumn="0" w:lastColumn="0" w:oddVBand="0" w:evenVBand="0" w:oddHBand="0" w:evenHBand="0" w:firstRowFirstColumn="0" w:firstRowLastColumn="0" w:lastRowFirstColumn="0" w:lastRowLastColumn="0"/>
            </w:pPr>
            <w:r>
              <w:t>$33.7bn</w:t>
            </w:r>
          </w:p>
        </w:tc>
        <w:tc>
          <w:tcPr>
            <w:tcW w:w="2160" w:type="dxa"/>
          </w:tcPr>
          <w:p w14:paraId="4B280592" w14:textId="77777777" w:rsidR="002F1EFC" w:rsidRDefault="00000000">
            <w:pPr>
              <w:cnfStyle w:val="000000000000" w:firstRow="0" w:lastRow="0" w:firstColumn="0" w:lastColumn="0" w:oddVBand="0" w:evenVBand="0" w:oddHBand="0" w:evenHBand="0" w:firstRowFirstColumn="0" w:firstRowLastColumn="0" w:lastRowFirstColumn="0" w:lastRowLastColumn="0"/>
            </w:pPr>
            <w:r>
              <w:t>12.4%</w:t>
            </w:r>
          </w:p>
        </w:tc>
      </w:tr>
      <w:tr w:rsidR="002F1EFC" w14:paraId="1FAF01EC" w14:textId="77777777" w:rsidTr="002F1E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6D8902B" w14:textId="77777777" w:rsidR="002F1EFC" w:rsidRDefault="00000000">
            <w:r>
              <w:t>iPad</w:t>
            </w:r>
          </w:p>
        </w:tc>
        <w:tc>
          <w:tcPr>
            <w:tcW w:w="2160" w:type="dxa"/>
          </w:tcPr>
          <w:p w14:paraId="1D1FAC19" w14:textId="77777777" w:rsidR="002F1EFC" w:rsidRDefault="00000000">
            <w:pPr>
              <w:cnfStyle w:val="000000100000" w:firstRow="0" w:lastRow="0" w:firstColumn="0" w:lastColumn="0" w:oddVBand="0" w:evenVBand="0" w:oddHBand="1" w:evenHBand="0" w:firstRowFirstColumn="0" w:firstRowLastColumn="0" w:lastRowFirstColumn="0" w:lastRowLastColumn="0"/>
            </w:pPr>
            <w:r>
              <w:t>$26.7bn</w:t>
            </w:r>
          </w:p>
        </w:tc>
        <w:tc>
          <w:tcPr>
            <w:tcW w:w="2160" w:type="dxa"/>
          </w:tcPr>
          <w:p w14:paraId="6319F2D4" w14:textId="77777777" w:rsidR="002F1EFC" w:rsidRDefault="00000000">
            <w:pPr>
              <w:cnfStyle w:val="000000100000" w:firstRow="0" w:lastRow="0" w:firstColumn="0" w:lastColumn="0" w:oddVBand="0" w:evenVBand="0" w:oddHBand="1" w:evenHBand="0" w:firstRowFirstColumn="0" w:firstRowLastColumn="0" w:lastRowFirstColumn="0" w:lastRowLastColumn="0"/>
            </w:pPr>
            <w:r>
              <w:t>$28.0bn</w:t>
            </w:r>
          </w:p>
        </w:tc>
        <w:tc>
          <w:tcPr>
            <w:tcW w:w="2160" w:type="dxa"/>
          </w:tcPr>
          <w:p w14:paraId="75858E3F" w14:textId="77777777" w:rsidR="002F1EFC" w:rsidRDefault="00000000">
            <w:pPr>
              <w:cnfStyle w:val="000000100000" w:firstRow="0" w:lastRow="0" w:firstColumn="0" w:lastColumn="0" w:oddVBand="0" w:evenVBand="0" w:oddHBand="1" w:evenHBand="0" w:firstRowFirstColumn="0" w:firstRowLastColumn="0" w:lastRowFirstColumn="0" w:lastRowLastColumn="0"/>
            </w:pPr>
            <w:r>
              <w:t>5.0%</w:t>
            </w:r>
          </w:p>
        </w:tc>
      </w:tr>
      <w:tr w:rsidR="002F1EFC" w14:paraId="6DF0EF5C" w14:textId="77777777" w:rsidTr="002F1EFC">
        <w:tc>
          <w:tcPr>
            <w:cnfStyle w:val="001000000000" w:firstRow="0" w:lastRow="0" w:firstColumn="1" w:lastColumn="0" w:oddVBand="0" w:evenVBand="0" w:oddHBand="0" w:evenHBand="0" w:firstRowFirstColumn="0" w:firstRowLastColumn="0" w:lastRowFirstColumn="0" w:lastRowLastColumn="0"/>
            <w:tcW w:w="2160" w:type="dxa"/>
          </w:tcPr>
          <w:p w14:paraId="17E9781A" w14:textId="77777777" w:rsidR="002F1EFC" w:rsidRDefault="00000000">
            <w:r>
              <w:t>Wearables, Home &amp; Accessories</w:t>
            </w:r>
          </w:p>
        </w:tc>
        <w:tc>
          <w:tcPr>
            <w:tcW w:w="2160" w:type="dxa"/>
          </w:tcPr>
          <w:p w14:paraId="72B14E37" w14:textId="77777777" w:rsidR="002F1EFC" w:rsidRDefault="00000000">
            <w:pPr>
              <w:cnfStyle w:val="000000000000" w:firstRow="0" w:lastRow="0" w:firstColumn="0" w:lastColumn="0" w:oddVBand="0" w:evenVBand="0" w:oddHBand="0" w:evenHBand="0" w:firstRowFirstColumn="0" w:firstRowLastColumn="0" w:lastRowFirstColumn="0" w:lastRowLastColumn="0"/>
            </w:pPr>
            <w:r>
              <w:t>$37.0bn</w:t>
            </w:r>
          </w:p>
        </w:tc>
        <w:tc>
          <w:tcPr>
            <w:tcW w:w="2160" w:type="dxa"/>
          </w:tcPr>
          <w:p w14:paraId="17128CD8" w14:textId="77777777" w:rsidR="002F1EFC" w:rsidRDefault="00000000">
            <w:pPr>
              <w:cnfStyle w:val="000000000000" w:firstRow="0" w:lastRow="0" w:firstColumn="0" w:lastColumn="0" w:oddVBand="0" w:evenVBand="0" w:oddHBand="0" w:evenHBand="0" w:firstRowFirstColumn="0" w:firstRowLastColumn="0" w:lastRowFirstColumn="0" w:lastRowLastColumn="0"/>
            </w:pPr>
            <w:r>
              <w:t>$35.7bn</w:t>
            </w:r>
          </w:p>
        </w:tc>
        <w:tc>
          <w:tcPr>
            <w:tcW w:w="2160" w:type="dxa"/>
          </w:tcPr>
          <w:p w14:paraId="3DB1ED7F" w14:textId="77777777" w:rsidR="002F1EFC" w:rsidRDefault="00000000">
            <w:pPr>
              <w:cnfStyle w:val="000000000000" w:firstRow="0" w:lastRow="0" w:firstColumn="0" w:lastColumn="0" w:oddVBand="0" w:evenVBand="0" w:oddHBand="0" w:evenHBand="0" w:firstRowFirstColumn="0" w:firstRowLastColumn="0" w:lastRowFirstColumn="0" w:lastRowLastColumn="0"/>
            </w:pPr>
            <w:r>
              <w:t>-3.6%</w:t>
            </w:r>
          </w:p>
        </w:tc>
      </w:tr>
      <w:tr w:rsidR="002F1EFC" w14:paraId="5B1773E5" w14:textId="77777777" w:rsidTr="002F1E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F1B8E89" w14:textId="77777777" w:rsidR="002F1EFC" w:rsidRDefault="00000000">
            <w:r>
              <w:lastRenderedPageBreak/>
              <w:t>Services Net Sales</w:t>
            </w:r>
          </w:p>
        </w:tc>
        <w:tc>
          <w:tcPr>
            <w:tcW w:w="2160" w:type="dxa"/>
          </w:tcPr>
          <w:p w14:paraId="6F38102F" w14:textId="77777777" w:rsidR="002F1EFC" w:rsidRDefault="00000000">
            <w:pPr>
              <w:cnfStyle w:val="000000100000" w:firstRow="0" w:lastRow="0" w:firstColumn="0" w:lastColumn="0" w:oddVBand="0" w:evenVBand="0" w:oddHBand="1" w:evenHBand="0" w:firstRowFirstColumn="0" w:firstRowLastColumn="0" w:lastRowFirstColumn="0" w:lastRowLastColumn="0"/>
            </w:pPr>
            <w:r>
              <w:t>$96.2bn</w:t>
            </w:r>
          </w:p>
        </w:tc>
        <w:tc>
          <w:tcPr>
            <w:tcW w:w="2160" w:type="dxa"/>
          </w:tcPr>
          <w:p w14:paraId="54D1C2ED" w14:textId="77777777" w:rsidR="002F1EFC" w:rsidRDefault="00000000">
            <w:pPr>
              <w:cnfStyle w:val="000000100000" w:firstRow="0" w:lastRow="0" w:firstColumn="0" w:lastColumn="0" w:oddVBand="0" w:evenVBand="0" w:oddHBand="1" w:evenHBand="0" w:firstRowFirstColumn="0" w:firstRowLastColumn="0" w:lastRowFirstColumn="0" w:lastRowLastColumn="0"/>
            </w:pPr>
            <w:r>
              <w:t>$109.2bn</w:t>
            </w:r>
          </w:p>
        </w:tc>
        <w:tc>
          <w:tcPr>
            <w:tcW w:w="2160" w:type="dxa"/>
          </w:tcPr>
          <w:p w14:paraId="0E2FCEA6" w14:textId="77777777" w:rsidR="002F1EFC" w:rsidRDefault="00000000">
            <w:pPr>
              <w:cnfStyle w:val="000000100000" w:firstRow="0" w:lastRow="0" w:firstColumn="0" w:lastColumn="0" w:oddVBand="0" w:evenVBand="0" w:oddHBand="1" w:evenHBand="0" w:firstRowFirstColumn="0" w:firstRowLastColumn="0" w:lastRowFirstColumn="0" w:lastRowLastColumn="0"/>
            </w:pPr>
            <w:r>
              <w:t>13.5%</w:t>
            </w:r>
          </w:p>
        </w:tc>
      </w:tr>
    </w:tbl>
    <w:p w14:paraId="2DC5FDDF" w14:textId="77777777" w:rsidR="009C0B43" w:rsidRDefault="00000000">
      <w:pPr>
        <w:spacing w:before="40" w:after="100"/>
      </w:pPr>
      <w:r>
        <w:rPr>
          <w:i/>
          <w:color w:val="5F5F5F"/>
          <w:sz w:val="15"/>
        </w:rPr>
        <w:t>Source: bApple Fundamentals(5).xlsx, Apple Product Revenue; USD billions.</w:t>
      </w:r>
    </w:p>
    <w:p w14:paraId="1FA91A26" w14:textId="77777777" w:rsidR="002F1EFC" w:rsidRDefault="00000000">
      <w:r>
        <w:t>Total revenue increased from $274.5bn in FY2020A to $416.2bn in FY2025A, a five-year CAGR of 8.7%. This is a historical growth rate, not a forward forecast.</w:t>
      </w:r>
    </w:p>
    <w:p w14:paraId="355CD7E1" w14:textId="77777777" w:rsidR="009C0B43" w:rsidRDefault="00000000">
      <w:r>
        <w:t>Investment implication: Revenue grew at an 8.7% five-year compound rate, but the FY2025 mix is increasingly important. Services generated $109.2bn, or approximately 26.2% of total sales, while iPhone contributed about 50.4%. This combination supports a more diversified earnings base, although the iPhone cycle remains the largest single driver of sales.</w:t>
      </w:r>
    </w:p>
    <w:p w14:paraId="45D2B5CB" w14:textId="77777777" w:rsidR="002F1EFC" w:rsidRDefault="00000000">
      <w:pPr>
        <w:pStyle w:val="Heading1"/>
      </w:pPr>
      <w:r>
        <w:t>2. Financial Performance and Quality</w:t>
      </w:r>
    </w:p>
    <w:p w14:paraId="3F950B88" w14:textId="77777777" w:rsidR="002F1EFC" w:rsidRDefault="00000000">
      <w:r>
        <w:t>Gross Profit: $180.7bn in FY2024A and $195.2bn in FY2025A, a change of 8.0%.</w:t>
      </w:r>
    </w:p>
    <w:p w14:paraId="53E831A1" w14:textId="77777777" w:rsidR="002F1EFC" w:rsidRDefault="00000000">
      <w:r>
        <w:t>Operating Income (EBIT): $123.2bn in FY2024A and $133.1bn in FY2025A, a change of 8.0%.</w:t>
      </w:r>
    </w:p>
    <w:p w14:paraId="0DC4C36F" w14:textId="77777777" w:rsidR="002F1EFC" w:rsidRDefault="00000000">
      <w:r>
        <w:t>Net Income: $93.7bn in FY2024A and $112.0bn in FY2025A, a change of 19.5%.</w:t>
      </w:r>
    </w:p>
    <w:p w14:paraId="508A39E9" w14:textId="77777777" w:rsidR="002F1EFC" w:rsidRDefault="00000000">
      <w:pPr>
        <w:spacing w:after="100"/>
      </w:pPr>
      <w:r>
        <w:t>Operating efficiency and balance-sheet measures provide an important counterbalance. The FY2025 current ratio was 0.89x, versus 0.87x in FY2024, while interest-bearing debt-to-equity declined from 1.87x to 1.34x. The cash conversion cycle remained negative at -70.8 days in FY2025 (using the workbook’s 360-day convention), reflecting favorable working-capital timing. The unusually high FY2025 return on equity of 171.4% should be interpreted cautiously because its book-equity denominator is affected by Apple’s capital structure and shareholder distributions.</w:t>
      </w:r>
    </w:p>
    <w:p w14:paraId="61DC8F83" w14:textId="77777777" w:rsidR="002F1EFC" w:rsidRDefault="00000000">
      <w:pPr>
        <w:spacing w:after="100"/>
      </w:pPr>
      <w:r>
        <w:t>Selected ratios reinforce this assessment. Gross margin increased from 46.2% in FY2024 to 46.9% in FY2025, while EBIT margin rose from 31.5% to 32.0% and net margin improved from 24.0% to 26.9%. Return on assets increased from 26.1% to 30.9%, indicating stronger profit generation relative to assets. These improvements support the earnings-quality argument, although they do not by themselves establish an attractive valuation.</w:t>
      </w:r>
    </w:p>
    <w:p w14:paraId="657A75B2" w14:textId="77777777" w:rsidR="009C0B43" w:rsidRDefault="00000000">
      <w:r>
        <w:t>Investment implication: The improvement in operating margin from 31.5% to 32.0%, alongside a 19.5% rise in net income, indicates that earnings growth outpaced revenue growth in FY2025. However, the 0.89x current ratio and high debt-to-equity ratio warrant continued attention to liquidity and capital allocation; the exceptionally high ROE should not be interpreted as a stand-alone measure of economic returns.</w:t>
      </w:r>
    </w:p>
    <w:p w14:paraId="26021717" w14:textId="77777777" w:rsidR="002F1EFC" w:rsidRDefault="00000000">
      <w:pPr>
        <w:pStyle w:val="Heading1"/>
      </w:pPr>
      <w:r>
        <w:t>3. Industry and Competitive Position</w:t>
      </w:r>
    </w:p>
    <w:p w14:paraId="393C96A3" w14:textId="77777777" w:rsidR="002F1EFC" w:rsidRDefault="00000000">
      <w:pPr>
        <w:pStyle w:val="Heading2"/>
      </w:pPr>
      <w:r>
        <w:t>Smartphones and premium pricing</w:t>
      </w:r>
    </w:p>
    <w:p w14:paraId="646BB76A" w14:textId="77777777" w:rsidR="002F1EFC" w:rsidRDefault="00000000">
      <w:r>
        <w:t>The smartphone research workbook covers global industry revenue forecasts, the premium-priced market, smartphone ownership and emerging-market shipments. These datasets point to two separate investment questions: how quickly the overall market expands, and whether Apple can sustain a premium revenue share. Industry revenue forecasts are estimates, not realized sales. Market share based on shipments should not be presented as revenue share.</w:t>
      </w:r>
    </w:p>
    <w:p w14:paraId="1368534C" w14:textId="77777777" w:rsidR="002F1EFC" w:rsidRDefault="00000000">
      <w:pPr>
        <w:spacing w:after="100"/>
      </w:pPr>
      <w:r>
        <w:t>The smartphone industry forecast in the supplied workbook rises from $602.8bn in 2025 to $637.1bn in 2026, or approximately 5.7%. This is a forecast for the wider market, not an estimate of Apple’s iPhone sales; Apple’s ability to benefit depends on its competitive position and premium-device demand.</w:t>
      </w:r>
    </w:p>
    <w:p w14:paraId="245052C4" w14:textId="77777777" w:rsidR="009C0B43" w:rsidRDefault="00000000">
      <w:r>
        <w:t>Investment implication: The forecast 5.7% expansion in global smartphone revenue provides a supportive industry backdrop, but Apple’s iPhone growth of 4.2% in FY2025 was below that forward industry growth rate. Because these figures cover different periods, they are not a direct market-share comparison. The investment case depends on Apple maintaining premium pricing and generating upgrades rather than simply matching market expansion.</w:t>
      </w:r>
    </w:p>
    <w:p w14:paraId="3883FFF9" w14:textId="77777777" w:rsidR="002F1EFC" w:rsidRDefault="00000000">
      <w:pPr>
        <w:pStyle w:val="Heading2"/>
      </w:pPr>
      <w:r>
        <w:t>Mac and the computer market</w:t>
      </w:r>
    </w:p>
    <w:p w14:paraId="3AFFB3F9" w14:textId="77777777" w:rsidR="002F1EFC" w:rsidRDefault="00000000">
      <w:r>
        <w:t xml:space="preserve">The laptop workbook compares vendor shipments and includes a separate industry revenue forecast. For Apple, unit share and price/mix should be assessed separately. A market can show moderate shipment </w:t>
      </w:r>
      <w:r>
        <w:lastRenderedPageBreak/>
        <w:t>growth but faster revenue growth if average selling prices or product mix rise. The data do not, by themselves, prove which factor explains the difference.</w:t>
      </w:r>
    </w:p>
    <w:p w14:paraId="7EA819FD" w14:textId="77777777" w:rsidR="002F1EFC" w:rsidRDefault="00000000">
      <w:pPr>
        <w:pStyle w:val="Heading2"/>
      </w:pPr>
      <w:r>
        <w:t>iPad and tablets</w:t>
      </w:r>
    </w:p>
    <w:p w14:paraId="11FA0A81" w14:textId="77777777" w:rsidR="002F1EFC" w:rsidRDefault="00000000">
      <w:r>
        <w:t>The tablet workbook tracks vendor shipments and future industry revenue. These provide a useful check on whether the tablet market is growing through unit demand or value per device. Apple FY2025 iPad revenue was $28.0bn in the product workbook. Market forecasts should not be treated as certain future demand.</w:t>
      </w:r>
    </w:p>
    <w:p w14:paraId="4071B9A0" w14:textId="77777777" w:rsidR="002F1EFC" w:rsidRDefault="00000000">
      <w:pPr>
        <w:spacing w:after="100"/>
      </w:pPr>
      <w:r>
        <w:t>The tablet industry revenue forecast increases from $114.66bn in 2025 to $121.61bn in 2026, an increase of approximately 6.1%. The figures suggest expected market expansion, but they do not establish Apple’s future tablet market share.</w:t>
      </w:r>
    </w:p>
    <w:p w14:paraId="65EB02E5" w14:textId="77777777" w:rsidR="002F1EFC" w:rsidRDefault="00000000">
      <w:pPr>
        <w:pStyle w:val="Heading2"/>
      </w:pPr>
      <w:r>
        <w:t>Wearables and services</w:t>
      </w:r>
    </w:p>
    <w:p w14:paraId="03DAE7E2" w14:textId="77777777" w:rsidR="002F1EFC" w:rsidRDefault="00000000">
      <w:r>
        <w:t>The accessories and services workbook studies wearable shipments, market size, music and video streaming, cloud storage, app distribution and digital wallets. The range of services is strategically important because Apple is not dependent on only one subscription or payment product. However, app counts, registered users, active users, subscribers, transaction value and revenue are different measures and should not be combined into a single market-share figure.</w:t>
      </w:r>
    </w:p>
    <w:p w14:paraId="7FFE70A9" w14:textId="77777777" w:rsidR="002F1EFC" w:rsidRDefault="00000000">
      <w:pPr>
        <w:spacing w:after="100"/>
      </w:pPr>
      <w:r>
        <w:t>The wearable-device market-size forecast rises from $203.38bn in 2025 to $231.45bn in 2026, implying approximately 13.8% growth. This is a broad industry forecast rather than a projection of Apple’s Wearables, Home &amp; Accessories revenue; Apple’s own FY2025 category revenue declined 3.6%. The contrast highlights why industry growth should not automatically be translated into company growth.</w:t>
      </w:r>
    </w:p>
    <w:p w14:paraId="5F350000" w14:textId="77777777" w:rsidR="009C0B43" w:rsidRDefault="00000000">
      <w:r>
        <w:t>Investment implication: The divergence between projected wearable-market growth of 13.8% and Apple’s 3.6% decline in Wearables, Home &amp; Accessories revenue during FY2025 is a useful warning against assuming that a growing addressable market automatically produces growth for Apple. Product mix, replacement cycles and competitive execution matter.</w:t>
      </w:r>
    </w:p>
    <w:p w14:paraId="0F4DDC8A" w14:textId="77777777" w:rsidR="002F1EFC" w:rsidRDefault="00000000">
      <w:pPr>
        <w:pStyle w:val="Heading1"/>
      </w:pPr>
      <w:r>
        <w:t>4. Semiconductor Industry: Apple Silicon and the Investment Case</w:t>
      </w:r>
    </w:p>
    <w:p w14:paraId="39125A1F" w14:textId="77777777" w:rsidR="002F1EFC" w:rsidRDefault="00000000">
      <w:r>
        <w:t>External research, separate from the supplied workbooks: Apple designs its own chips for several devices. Apple began moving Macs from Intel processors to Apple silicon in 2020. In March 2026, Apple announced M5 Pro and M5 Max processors, including a design that connects two dies in one system-on-chip package. Apple later announced its M6 chip, built on a 2-nanometer process, in August 2026. [S1–S3]</w:t>
      </w:r>
    </w:p>
    <w:p w14:paraId="101835C0" w14:textId="77777777" w:rsidR="002F1EFC" w:rsidRDefault="00000000">
      <w:r>
        <w:t>Why this matters: Apple-designed processors can help the company control device performance, energy efficiency and the timing of hardware features. On-device AI is another possible reason customers may upgrade. These are strategic opportunities, not proof of higher future iPhone or Mac sales. The DCF should only reflect higher demand or margins when those assumptions are supported by financial evidence.</w:t>
      </w:r>
    </w:p>
    <w:p w14:paraId="0BD2BC1A" w14:textId="77777777" w:rsidR="002F1EFC" w:rsidRDefault="00000000">
      <w:r>
        <w:t>Manufacturing is a separate source of risk. TSMC’s 2025 annual report describes investment in leading-edge manufacturing and advanced packaging, as well as expansion in Arizona. Its disclosures show why advanced chip production requires large investment and specialized capacity. Supply constraints, manufacturing concentration, yields and the cost of leading-edge processes are therefore relevant risks to monitor. [S4]</w:t>
      </w:r>
    </w:p>
    <w:p w14:paraId="2E86F183" w14:textId="77777777" w:rsidR="002F1EFC" w:rsidRDefault="00000000">
      <w:r>
        <w:t>Useful research indicators include Apple silicon performance per watt, device upgrade rates, gross margin by product versus services, chip-node transition costs, foundry capacity, and whether AI features increase customer spending. The uploaded workbooks do not quantify the earnings impact of Apple silicon; no chip-related revenue uplift is inserted into the valuation here.</w:t>
      </w:r>
    </w:p>
    <w:p w14:paraId="09EBEDAF" w14:textId="77777777" w:rsidR="002F1EFC" w:rsidRDefault="00000000">
      <w:pPr>
        <w:pStyle w:val="Heading1"/>
      </w:pPr>
      <w:r>
        <w:t>5. Discounted Cash Flow Valuation</w:t>
      </w:r>
    </w:p>
    <w:p w14:paraId="3B0A03CE" w14:textId="77777777" w:rsidR="002F1EFC" w:rsidRDefault="00000000">
      <w:r>
        <w:t>The workbook projects unlevered free cash flow for FY2026E–FY2030E and discounts it at a 10.08% WACC. It uses an end-of-year convention and calculates terminal value in two ways: an EBITDA exit multiple of 29.38x and a 3.0% perpetual growth rate. The workbook then rolls the September 27, 2025 valuation forward to its October 8, 2026 pricing date and subtracts interim dividends. The share values below are the rolled-forward outputs, not the earlier valuation-date outputs.</w:t>
      </w:r>
    </w:p>
    <w:tbl>
      <w:tblPr>
        <w:tblpPr w:leftFromText="180" w:rightFromText="180" w:vertAnchor="text" w:horzAnchor="margin" w:tblpXSpec="center" w:tblpY="1"/>
        <w:tblW w:w="11194" w:type="dxa"/>
        <w:tblLook w:val="04A0" w:firstRow="1" w:lastRow="0" w:firstColumn="1" w:lastColumn="0" w:noHBand="0" w:noVBand="1"/>
      </w:tblPr>
      <w:tblGrid>
        <w:gridCol w:w="3456"/>
        <w:gridCol w:w="1616"/>
        <w:gridCol w:w="1876"/>
        <w:gridCol w:w="1050"/>
        <w:gridCol w:w="1096"/>
        <w:gridCol w:w="1050"/>
        <w:gridCol w:w="1050"/>
      </w:tblGrid>
      <w:tr w:rsidR="00A70B77" w:rsidRPr="001B33B0" w14:paraId="2052B58B" w14:textId="77777777" w:rsidTr="00A70B77">
        <w:trPr>
          <w:trHeight w:val="288"/>
        </w:trPr>
        <w:tc>
          <w:tcPr>
            <w:tcW w:w="3456" w:type="dxa"/>
            <w:tcBorders>
              <w:top w:val="nil"/>
              <w:left w:val="nil"/>
              <w:bottom w:val="nil"/>
              <w:right w:val="nil"/>
            </w:tcBorders>
            <w:shd w:val="clear" w:color="333333" w:fill="8064A2"/>
            <w:noWrap/>
            <w:vAlign w:val="bottom"/>
            <w:hideMark/>
          </w:tcPr>
          <w:p w14:paraId="096B2191" w14:textId="77777777" w:rsidR="00A70B77" w:rsidRPr="001B33B0" w:rsidRDefault="00A70B77" w:rsidP="00A70B77">
            <w:pPr>
              <w:spacing w:after="0" w:line="240" w:lineRule="auto"/>
              <w:rPr>
                <w:rFonts w:eastAsia="Times New Roman" w:cs="Arial"/>
                <w:b/>
                <w:bCs/>
                <w:color w:val="FFFFFF"/>
                <w:sz w:val="20"/>
                <w:szCs w:val="20"/>
              </w:rPr>
            </w:pPr>
            <w:r w:rsidRPr="001B33B0">
              <w:rPr>
                <w:rFonts w:eastAsia="Times New Roman" w:cs="Arial"/>
                <w:b/>
                <w:bCs/>
                <w:color w:val="FFFFFF"/>
                <w:sz w:val="20"/>
                <w:szCs w:val="20"/>
              </w:rPr>
              <w:lastRenderedPageBreak/>
              <w:t>($ in millions, except per share)</w:t>
            </w:r>
          </w:p>
        </w:tc>
        <w:tc>
          <w:tcPr>
            <w:tcW w:w="1616" w:type="dxa"/>
            <w:tcBorders>
              <w:top w:val="nil"/>
              <w:left w:val="nil"/>
              <w:bottom w:val="nil"/>
              <w:right w:val="nil"/>
            </w:tcBorders>
            <w:shd w:val="clear" w:color="333333" w:fill="8064A2"/>
            <w:noWrap/>
            <w:vAlign w:val="bottom"/>
            <w:hideMark/>
          </w:tcPr>
          <w:p w14:paraId="6DF36E4C" w14:textId="77777777" w:rsidR="00A70B77" w:rsidRPr="001B33B0" w:rsidRDefault="00A70B77" w:rsidP="00A70B77">
            <w:pPr>
              <w:spacing w:after="0" w:line="240" w:lineRule="auto"/>
              <w:jc w:val="right"/>
              <w:rPr>
                <w:rFonts w:eastAsia="Times New Roman" w:cs="Arial"/>
                <w:b/>
                <w:bCs/>
                <w:color w:val="FFFFFF"/>
                <w:sz w:val="20"/>
                <w:szCs w:val="20"/>
              </w:rPr>
            </w:pPr>
            <w:r w:rsidRPr="001B33B0">
              <w:rPr>
                <w:rFonts w:eastAsia="Times New Roman" w:cs="Arial"/>
                <w:b/>
                <w:bCs/>
                <w:color w:val="FFFFFF"/>
                <w:sz w:val="20"/>
                <w:szCs w:val="20"/>
              </w:rPr>
              <w:t>FY2025A</w:t>
            </w:r>
          </w:p>
        </w:tc>
        <w:tc>
          <w:tcPr>
            <w:tcW w:w="1876" w:type="dxa"/>
            <w:tcBorders>
              <w:top w:val="nil"/>
              <w:left w:val="nil"/>
              <w:bottom w:val="nil"/>
              <w:right w:val="nil"/>
            </w:tcBorders>
            <w:shd w:val="clear" w:color="333333" w:fill="8064A2"/>
            <w:noWrap/>
            <w:vAlign w:val="bottom"/>
            <w:hideMark/>
          </w:tcPr>
          <w:p w14:paraId="2EDB4369" w14:textId="77777777" w:rsidR="00A70B77" w:rsidRPr="001B33B0" w:rsidRDefault="00A70B77" w:rsidP="00A70B77">
            <w:pPr>
              <w:spacing w:after="0" w:line="240" w:lineRule="auto"/>
              <w:jc w:val="right"/>
              <w:rPr>
                <w:rFonts w:eastAsia="Times New Roman" w:cs="Arial"/>
                <w:b/>
                <w:bCs/>
                <w:color w:val="FFFFFF"/>
                <w:sz w:val="20"/>
                <w:szCs w:val="20"/>
              </w:rPr>
            </w:pPr>
            <w:r w:rsidRPr="001B33B0">
              <w:rPr>
                <w:rFonts w:eastAsia="Times New Roman" w:cs="Arial"/>
                <w:b/>
                <w:bCs/>
                <w:color w:val="FFFFFF"/>
                <w:sz w:val="20"/>
                <w:szCs w:val="20"/>
              </w:rPr>
              <w:t>FY2026E</w:t>
            </w:r>
          </w:p>
        </w:tc>
        <w:tc>
          <w:tcPr>
            <w:tcW w:w="1050" w:type="dxa"/>
            <w:tcBorders>
              <w:top w:val="nil"/>
              <w:left w:val="nil"/>
              <w:bottom w:val="nil"/>
              <w:right w:val="nil"/>
            </w:tcBorders>
            <w:shd w:val="clear" w:color="333333" w:fill="8064A2"/>
            <w:noWrap/>
            <w:vAlign w:val="bottom"/>
            <w:hideMark/>
          </w:tcPr>
          <w:p w14:paraId="2CB5D8E7" w14:textId="77777777" w:rsidR="00A70B77" w:rsidRPr="001B33B0" w:rsidRDefault="00A70B77" w:rsidP="00A70B77">
            <w:pPr>
              <w:spacing w:after="0" w:line="240" w:lineRule="auto"/>
              <w:jc w:val="right"/>
              <w:rPr>
                <w:rFonts w:eastAsia="Times New Roman" w:cs="Arial"/>
                <w:b/>
                <w:bCs/>
                <w:color w:val="FFFFFF"/>
                <w:sz w:val="20"/>
                <w:szCs w:val="20"/>
              </w:rPr>
            </w:pPr>
            <w:r w:rsidRPr="001B33B0">
              <w:rPr>
                <w:rFonts w:eastAsia="Times New Roman" w:cs="Arial"/>
                <w:b/>
                <w:bCs/>
                <w:color w:val="FFFFFF"/>
                <w:sz w:val="20"/>
                <w:szCs w:val="20"/>
              </w:rPr>
              <w:t>FY2027E</w:t>
            </w:r>
          </w:p>
        </w:tc>
        <w:tc>
          <w:tcPr>
            <w:tcW w:w="1096" w:type="dxa"/>
            <w:tcBorders>
              <w:top w:val="nil"/>
              <w:left w:val="nil"/>
              <w:bottom w:val="nil"/>
              <w:right w:val="nil"/>
            </w:tcBorders>
            <w:shd w:val="clear" w:color="333333" w:fill="8064A2"/>
            <w:noWrap/>
            <w:vAlign w:val="bottom"/>
            <w:hideMark/>
          </w:tcPr>
          <w:p w14:paraId="574EF3E0" w14:textId="77777777" w:rsidR="00A70B77" w:rsidRPr="001B33B0" w:rsidRDefault="00A70B77" w:rsidP="00A70B77">
            <w:pPr>
              <w:spacing w:after="0" w:line="240" w:lineRule="auto"/>
              <w:jc w:val="right"/>
              <w:rPr>
                <w:rFonts w:eastAsia="Times New Roman" w:cs="Arial"/>
                <w:b/>
                <w:bCs/>
                <w:color w:val="FFFFFF"/>
                <w:sz w:val="20"/>
                <w:szCs w:val="20"/>
              </w:rPr>
            </w:pPr>
            <w:r w:rsidRPr="001B33B0">
              <w:rPr>
                <w:rFonts w:eastAsia="Times New Roman" w:cs="Arial"/>
                <w:b/>
                <w:bCs/>
                <w:color w:val="FFFFFF"/>
                <w:sz w:val="20"/>
                <w:szCs w:val="20"/>
              </w:rPr>
              <w:t>FY2028E</w:t>
            </w:r>
          </w:p>
        </w:tc>
        <w:tc>
          <w:tcPr>
            <w:tcW w:w="1050" w:type="dxa"/>
            <w:tcBorders>
              <w:top w:val="nil"/>
              <w:left w:val="nil"/>
              <w:bottom w:val="nil"/>
              <w:right w:val="nil"/>
            </w:tcBorders>
            <w:shd w:val="clear" w:color="333333" w:fill="8064A2"/>
            <w:noWrap/>
            <w:vAlign w:val="bottom"/>
            <w:hideMark/>
          </w:tcPr>
          <w:p w14:paraId="0AEED00A" w14:textId="77777777" w:rsidR="00A70B77" w:rsidRPr="001B33B0" w:rsidRDefault="00A70B77" w:rsidP="00A70B77">
            <w:pPr>
              <w:spacing w:after="0" w:line="240" w:lineRule="auto"/>
              <w:jc w:val="right"/>
              <w:rPr>
                <w:rFonts w:eastAsia="Times New Roman" w:cs="Arial"/>
                <w:b/>
                <w:bCs/>
                <w:color w:val="FFFFFF"/>
                <w:sz w:val="20"/>
                <w:szCs w:val="20"/>
              </w:rPr>
            </w:pPr>
            <w:r w:rsidRPr="001B33B0">
              <w:rPr>
                <w:rFonts w:eastAsia="Times New Roman" w:cs="Arial"/>
                <w:b/>
                <w:bCs/>
                <w:color w:val="FFFFFF"/>
                <w:sz w:val="20"/>
                <w:szCs w:val="20"/>
              </w:rPr>
              <w:t>FY2029E</w:t>
            </w:r>
          </w:p>
        </w:tc>
        <w:tc>
          <w:tcPr>
            <w:tcW w:w="1050" w:type="dxa"/>
            <w:tcBorders>
              <w:top w:val="nil"/>
              <w:left w:val="nil"/>
              <w:bottom w:val="nil"/>
              <w:right w:val="nil"/>
            </w:tcBorders>
            <w:shd w:val="clear" w:color="333333" w:fill="8064A2"/>
            <w:noWrap/>
            <w:vAlign w:val="bottom"/>
            <w:hideMark/>
          </w:tcPr>
          <w:p w14:paraId="06AFC62F" w14:textId="77777777" w:rsidR="00A70B77" w:rsidRPr="001B33B0" w:rsidRDefault="00A70B77" w:rsidP="00A70B77">
            <w:pPr>
              <w:spacing w:after="0" w:line="240" w:lineRule="auto"/>
              <w:jc w:val="right"/>
              <w:rPr>
                <w:rFonts w:eastAsia="Times New Roman" w:cs="Arial"/>
                <w:b/>
                <w:bCs/>
                <w:color w:val="FFFFFF"/>
                <w:sz w:val="20"/>
                <w:szCs w:val="20"/>
              </w:rPr>
            </w:pPr>
            <w:r w:rsidRPr="001B33B0">
              <w:rPr>
                <w:rFonts w:eastAsia="Times New Roman" w:cs="Arial"/>
                <w:b/>
                <w:bCs/>
                <w:color w:val="FFFFFF"/>
                <w:sz w:val="20"/>
                <w:szCs w:val="20"/>
              </w:rPr>
              <w:t>FY2030E</w:t>
            </w:r>
          </w:p>
        </w:tc>
      </w:tr>
      <w:tr w:rsidR="00A70B77" w:rsidRPr="001B33B0" w14:paraId="70C3B2EE" w14:textId="77777777" w:rsidTr="00A70B77">
        <w:trPr>
          <w:trHeight w:val="288"/>
        </w:trPr>
        <w:tc>
          <w:tcPr>
            <w:tcW w:w="3456" w:type="dxa"/>
            <w:tcBorders>
              <w:top w:val="nil"/>
              <w:left w:val="nil"/>
              <w:bottom w:val="nil"/>
              <w:right w:val="nil"/>
            </w:tcBorders>
            <w:noWrap/>
            <w:vAlign w:val="bottom"/>
            <w:hideMark/>
          </w:tcPr>
          <w:p w14:paraId="200B5F61" w14:textId="77777777" w:rsidR="00A70B77" w:rsidRPr="001B33B0" w:rsidRDefault="00A70B77" w:rsidP="00A70B77">
            <w:pPr>
              <w:spacing w:after="0" w:line="240" w:lineRule="auto"/>
              <w:rPr>
                <w:rFonts w:eastAsia="Times New Roman" w:cs="Arial"/>
                <w:b/>
                <w:bCs/>
                <w:color w:val="8064A2"/>
                <w:sz w:val="20"/>
                <w:szCs w:val="20"/>
              </w:rPr>
            </w:pPr>
            <w:r w:rsidRPr="001B33B0">
              <w:rPr>
                <w:rFonts w:eastAsia="Times New Roman" w:cs="Arial"/>
                <w:b/>
                <w:bCs/>
                <w:color w:val="8064A2"/>
                <w:sz w:val="20"/>
                <w:szCs w:val="20"/>
              </w:rPr>
              <w:t>Unlevered Free Cash Flow</w:t>
            </w:r>
          </w:p>
        </w:tc>
        <w:tc>
          <w:tcPr>
            <w:tcW w:w="1616" w:type="dxa"/>
            <w:tcBorders>
              <w:top w:val="nil"/>
              <w:left w:val="nil"/>
              <w:bottom w:val="nil"/>
              <w:right w:val="nil"/>
            </w:tcBorders>
            <w:noWrap/>
            <w:vAlign w:val="bottom"/>
            <w:hideMark/>
          </w:tcPr>
          <w:p w14:paraId="6F56C375" w14:textId="77777777" w:rsidR="00A70B77" w:rsidRPr="001B33B0" w:rsidRDefault="00A70B77" w:rsidP="00A70B77">
            <w:pPr>
              <w:spacing w:after="0" w:line="240" w:lineRule="auto"/>
              <w:rPr>
                <w:rFonts w:eastAsia="Times New Roman" w:cs="Arial"/>
                <w:b/>
                <w:bCs/>
                <w:color w:val="8064A2"/>
                <w:sz w:val="20"/>
                <w:szCs w:val="20"/>
              </w:rPr>
            </w:pPr>
          </w:p>
        </w:tc>
        <w:tc>
          <w:tcPr>
            <w:tcW w:w="1876" w:type="dxa"/>
            <w:tcBorders>
              <w:top w:val="nil"/>
              <w:left w:val="nil"/>
              <w:bottom w:val="nil"/>
              <w:right w:val="nil"/>
            </w:tcBorders>
            <w:noWrap/>
            <w:vAlign w:val="bottom"/>
            <w:hideMark/>
          </w:tcPr>
          <w:p w14:paraId="6E955AAF"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72C4DD16"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96" w:type="dxa"/>
            <w:tcBorders>
              <w:top w:val="nil"/>
              <w:left w:val="nil"/>
              <w:bottom w:val="nil"/>
              <w:right w:val="nil"/>
            </w:tcBorders>
            <w:noWrap/>
            <w:vAlign w:val="bottom"/>
            <w:hideMark/>
          </w:tcPr>
          <w:p w14:paraId="05629C64"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3316647F"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7D1A3081" w14:textId="77777777" w:rsidR="00A70B77" w:rsidRPr="001B33B0" w:rsidRDefault="00A70B77" w:rsidP="00A70B77">
            <w:pPr>
              <w:spacing w:after="0" w:line="240" w:lineRule="auto"/>
              <w:rPr>
                <w:rFonts w:ascii="Times New Roman" w:eastAsia="Times New Roman" w:hAnsi="Times New Roman" w:cs="Times New Roman"/>
                <w:sz w:val="20"/>
                <w:szCs w:val="20"/>
              </w:rPr>
            </w:pPr>
          </w:p>
        </w:tc>
      </w:tr>
      <w:tr w:rsidR="00A70B77" w:rsidRPr="001B33B0" w14:paraId="57AC3E1E" w14:textId="77777777" w:rsidTr="00A70B77">
        <w:trPr>
          <w:trHeight w:val="288"/>
        </w:trPr>
        <w:tc>
          <w:tcPr>
            <w:tcW w:w="3456" w:type="dxa"/>
            <w:tcBorders>
              <w:top w:val="nil"/>
              <w:left w:val="nil"/>
              <w:bottom w:val="nil"/>
              <w:right w:val="nil"/>
            </w:tcBorders>
            <w:noWrap/>
            <w:vAlign w:val="bottom"/>
            <w:hideMark/>
          </w:tcPr>
          <w:p w14:paraId="1EB44E39" w14:textId="77777777" w:rsidR="00A70B77" w:rsidRPr="001B33B0" w:rsidRDefault="00A70B77" w:rsidP="00A70B77">
            <w:pPr>
              <w:spacing w:after="0" w:line="240" w:lineRule="auto"/>
              <w:rPr>
                <w:rFonts w:eastAsia="Times New Roman" w:cs="Arial"/>
                <w:color w:val="000000"/>
                <w:sz w:val="20"/>
                <w:szCs w:val="20"/>
              </w:rPr>
            </w:pPr>
            <w:r w:rsidRPr="001B33B0">
              <w:rPr>
                <w:rFonts w:eastAsia="Times New Roman" w:cs="Arial"/>
                <w:color w:val="000000"/>
                <w:sz w:val="20"/>
                <w:szCs w:val="20"/>
              </w:rPr>
              <w:t>EBIT</w:t>
            </w:r>
          </w:p>
        </w:tc>
        <w:tc>
          <w:tcPr>
            <w:tcW w:w="1616" w:type="dxa"/>
            <w:tcBorders>
              <w:top w:val="nil"/>
              <w:left w:val="nil"/>
              <w:bottom w:val="nil"/>
              <w:right w:val="nil"/>
            </w:tcBorders>
            <w:noWrap/>
            <w:vAlign w:val="bottom"/>
            <w:hideMark/>
          </w:tcPr>
          <w:p w14:paraId="06299AA1" w14:textId="77777777" w:rsidR="00A70B77" w:rsidRPr="001B33B0" w:rsidRDefault="00A70B77" w:rsidP="00A70B77">
            <w:pPr>
              <w:spacing w:after="0" w:line="240" w:lineRule="auto"/>
              <w:rPr>
                <w:rFonts w:eastAsia="Times New Roman" w:cs="Arial"/>
                <w:color w:val="000000"/>
                <w:sz w:val="20"/>
                <w:szCs w:val="20"/>
              </w:rPr>
            </w:pPr>
          </w:p>
        </w:tc>
        <w:tc>
          <w:tcPr>
            <w:tcW w:w="1876" w:type="dxa"/>
            <w:tcBorders>
              <w:top w:val="nil"/>
              <w:left w:val="nil"/>
              <w:bottom w:val="nil"/>
              <w:right w:val="nil"/>
            </w:tcBorders>
            <w:noWrap/>
            <w:vAlign w:val="bottom"/>
            <w:hideMark/>
          </w:tcPr>
          <w:p w14:paraId="051DD5A1" w14:textId="77777777" w:rsidR="00A70B77" w:rsidRPr="001B33B0" w:rsidRDefault="00A70B77" w:rsidP="00A70B77">
            <w:pPr>
              <w:spacing w:after="0" w:line="240" w:lineRule="auto"/>
              <w:jc w:val="right"/>
              <w:rPr>
                <w:rFonts w:eastAsia="Times New Roman" w:cs="Arial"/>
                <w:sz w:val="20"/>
                <w:szCs w:val="20"/>
              </w:rPr>
            </w:pPr>
            <w:r w:rsidRPr="001B33B0">
              <w:rPr>
                <w:rFonts w:eastAsia="Times New Roman" w:cs="Arial"/>
                <w:sz w:val="20"/>
                <w:szCs w:val="20"/>
              </w:rPr>
              <w:t>156,430</w:t>
            </w:r>
          </w:p>
        </w:tc>
        <w:tc>
          <w:tcPr>
            <w:tcW w:w="1050" w:type="dxa"/>
            <w:tcBorders>
              <w:top w:val="nil"/>
              <w:left w:val="nil"/>
              <w:bottom w:val="nil"/>
              <w:right w:val="nil"/>
            </w:tcBorders>
            <w:noWrap/>
            <w:vAlign w:val="bottom"/>
            <w:hideMark/>
          </w:tcPr>
          <w:p w14:paraId="64992B5F" w14:textId="77777777" w:rsidR="00A70B77" w:rsidRPr="001B33B0" w:rsidRDefault="00A70B77" w:rsidP="00A70B77">
            <w:pPr>
              <w:spacing w:after="0" w:line="240" w:lineRule="auto"/>
              <w:jc w:val="right"/>
              <w:rPr>
                <w:rFonts w:eastAsia="Times New Roman" w:cs="Arial"/>
                <w:sz w:val="20"/>
                <w:szCs w:val="20"/>
              </w:rPr>
            </w:pPr>
            <w:r w:rsidRPr="001B33B0">
              <w:rPr>
                <w:rFonts w:eastAsia="Times New Roman" w:cs="Arial"/>
                <w:sz w:val="20"/>
                <w:szCs w:val="20"/>
              </w:rPr>
              <w:t>160,255</w:t>
            </w:r>
          </w:p>
        </w:tc>
        <w:tc>
          <w:tcPr>
            <w:tcW w:w="1096" w:type="dxa"/>
            <w:tcBorders>
              <w:top w:val="nil"/>
              <w:left w:val="nil"/>
              <w:bottom w:val="nil"/>
              <w:right w:val="nil"/>
            </w:tcBorders>
            <w:noWrap/>
            <w:vAlign w:val="bottom"/>
            <w:hideMark/>
          </w:tcPr>
          <w:p w14:paraId="6321C9F4" w14:textId="77777777" w:rsidR="00A70B77" w:rsidRPr="001B33B0" w:rsidRDefault="00A70B77" w:rsidP="00A70B77">
            <w:pPr>
              <w:spacing w:after="0" w:line="240" w:lineRule="auto"/>
              <w:jc w:val="right"/>
              <w:rPr>
                <w:rFonts w:eastAsia="Times New Roman" w:cs="Arial"/>
                <w:sz w:val="20"/>
                <w:szCs w:val="20"/>
              </w:rPr>
            </w:pPr>
            <w:r w:rsidRPr="001B33B0">
              <w:rPr>
                <w:rFonts w:eastAsia="Times New Roman" w:cs="Arial"/>
                <w:sz w:val="20"/>
                <w:szCs w:val="20"/>
              </w:rPr>
              <w:t>169,069</w:t>
            </w:r>
          </w:p>
        </w:tc>
        <w:tc>
          <w:tcPr>
            <w:tcW w:w="1050" w:type="dxa"/>
            <w:tcBorders>
              <w:top w:val="nil"/>
              <w:left w:val="nil"/>
              <w:bottom w:val="nil"/>
              <w:right w:val="nil"/>
            </w:tcBorders>
            <w:noWrap/>
            <w:vAlign w:val="bottom"/>
            <w:hideMark/>
          </w:tcPr>
          <w:p w14:paraId="224D8BCE" w14:textId="77777777" w:rsidR="00A70B77" w:rsidRPr="001B33B0" w:rsidRDefault="00A70B77" w:rsidP="00A70B77">
            <w:pPr>
              <w:spacing w:after="0" w:line="240" w:lineRule="auto"/>
              <w:jc w:val="right"/>
              <w:rPr>
                <w:rFonts w:eastAsia="Times New Roman" w:cs="Arial"/>
                <w:sz w:val="20"/>
                <w:szCs w:val="20"/>
              </w:rPr>
            </w:pPr>
            <w:r w:rsidRPr="001B33B0">
              <w:rPr>
                <w:rFonts w:eastAsia="Times New Roman" w:cs="Arial"/>
                <w:sz w:val="20"/>
                <w:szCs w:val="20"/>
              </w:rPr>
              <w:t>177,522</w:t>
            </w:r>
          </w:p>
        </w:tc>
        <w:tc>
          <w:tcPr>
            <w:tcW w:w="1050" w:type="dxa"/>
            <w:tcBorders>
              <w:top w:val="nil"/>
              <w:left w:val="nil"/>
              <w:bottom w:val="nil"/>
              <w:right w:val="nil"/>
            </w:tcBorders>
            <w:noWrap/>
            <w:vAlign w:val="bottom"/>
            <w:hideMark/>
          </w:tcPr>
          <w:p w14:paraId="13F92279" w14:textId="77777777" w:rsidR="00A70B77" w:rsidRPr="001B33B0" w:rsidRDefault="00A70B77" w:rsidP="00A70B77">
            <w:pPr>
              <w:spacing w:after="0" w:line="240" w:lineRule="auto"/>
              <w:jc w:val="right"/>
              <w:rPr>
                <w:rFonts w:eastAsia="Times New Roman" w:cs="Arial"/>
                <w:sz w:val="20"/>
                <w:szCs w:val="20"/>
              </w:rPr>
            </w:pPr>
            <w:r w:rsidRPr="001B33B0">
              <w:rPr>
                <w:rFonts w:eastAsia="Times New Roman" w:cs="Arial"/>
                <w:sz w:val="20"/>
                <w:szCs w:val="20"/>
              </w:rPr>
              <w:t>185,511</w:t>
            </w:r>
          </w:p>
        </w:tc>
      </w:tr>
      <w:tr w:rsidR="00A70B77" w:rsidRPr="001B33B0" w14:paraId="6F11319B" w14:textId="77777777" w:rsidTr="00A70B77">
        <w:trPr>
          <w:trHeight w:val="288"/>
        </w:trPr>
        <w:tc>
          <w:tcPr>
            <w:tcW w:w="3456" w:type="dxa"/>
            <w:tcBorders>
              <w:top w:val="nil"/>
              <w:left w:val="nil"/>
              <w:bottom w:val="nil"/>
              <w:right w:val="nil"/>
            </w:tcBorders>
            <w:noWrap/>
            <w:vAlign w:val="bottom"/>
            <w:hideMark/>
          </w:tcPr>
          <w:p w14:paraId="05D7EDA7" w14:textId="77777777" w:rsidR="00A70B77" w:rsidRPr="001B33B0" w:rsidRDefault="00A70B77" w:rsidP="00A70B77">
            <w:pPr>
              <w:spacing w:after="0" w:line="240" w:lineRule="auto"/>
              <w:rPr>
                <w:rFonts w:eastAsia="Times New Roman" w:cs="Arial"/>
                <w:color w:val="000000"/>
                <w:sz w:val="20"/>
                <w:szCs w:val="20"/>
              </w:rPr>
            </w:pPr>
            <w:r w:rsidRPr="001B33B0">
              <w:rPr>
                <w:rFonts w:eastAsia="Times New Roman" w:cs="Arial"/>
                <w:color w:val="000000"/>
                <w:sz w:val="20"/>
                <w:szCs w:val="20"/>
              </w:rPr>
              <w:t>Depreciation &amp; Amortization</w:t>
            </w:r>
          </w:p>
        </w:tc>
        <w:tc>
          <w:tcPr>
            <w:tcW w:w="1616" w:type="dxa"/>
            <w:tcBorders>
              <w:top w:val="nil"/>
              <w:left w:val="nil"/>
              <w:bottom w:val="nil"/>
              <w:right w:val="nil"/>
            </w:tcBorders>
            <w:noWrap/>
            <w:vAlign w:val="bottom"/>
            <w:hideMark/>
          </w:tcPr>
          <w:p w14:paraId="47C4D099" w14:textId="77777777" w:rsidR="00A70B77" w:rsidRPr="001B33B0" w:rsidRDefault="00A70B77" w:rsidP="00A70B77">
            <w:pPr>
              <w:spacing w:after="0" w:line="240" w:lineRule="auto"/>
              <w:rPr>
                <w:rFonts w:eastAsia="Times New Roman" w:cs="Arial"/>
                <w:color w:val="000000"/>
                <w:sz w:val="20"/>
                <w:szCs w:val="20"/>
              </w:rPr>
            </w:pPr>
          </w:p>
        </w:tc>
        <w:tc>
          <w:tcPr>
            <w:tcW w:w="1876" w:type="dxa"/>
            <w:tcBorders>
              <w:top w:val="nil"/>
              <w:left w:val="nil"/>
              <w:bottom w:val="nil"/>
              <w:right w:val="nil"/>
            </w:tcBorders>
            <w:noWrap/>
            <w:vAlign w:val="bottom"/>
            <w:hideMark/>
          </w:tcPr>
          <w:p w14:paraId="64834882" w14:textId="77777777" w:rsidR="00A70B77" w:rsidRPr="001B33B0" w:rsidRDefault="00A70B77" w:rsidP="00A70B77">
            <w:pPr>
              <w:spacing w:after="0" w:line="240" w:lineRule="auto"/>
              <w:jc w:val="right"/>
              <w:rPr>
                <w:rFonts w:eastAsia="Times New Roman" w:cs="Arial"/>
                <w:sz w:val="20"/>
                <w:szCs w:val="20"/>
              </w:rPr>
            </w:pPr>
            <w:r w:rsidRPr="001B33B0">
              <w:rPr>
                <w:rFonts w:eastAsia="Times New Roman" w:cs="Arial"/>
                <w:sz w:val="20"/>
                <w:szCs w:val="20"/>
              </w:rPr>
              <w:t>11,451</w:t>
            </w:r>
          </w:p>
        </w:tc>
        <w:tc>
          <w:tcPr>
            <w:tcW w:w="1050" w:type="dxa"/>
            <w:tcBorders>
              <w:top w:val="nil"/>
              <w:left w:val="nil"/>
              <w:bottom w:val="nil"/>
              <w:right w:val="nil"/>
            </w:tcBorders>
            <w:noWrap/>
            <w:vAlign w:val="bottom"/>
            <w:hideMark/>
          </w:tcPr>
          <w:p w14:paraId="1B8195A5" w14:textId="77777777" w:rsidR="00A70B77" w:rsidRPr="001B33B0" w:rsidRDefault="00A70B77" w:rsidP="00A70B77">
            <w:pPr>
              <w:spacing w:after="0" w:line="240" w:lineRule="auto"/>
              <w:jc w:val="right"/>
              <w:rPr>
                <w:rFonts w:eastAsia="Times New Roman" w:cs="Arial"/>
                <w:sz w:val="20"/>
                <w:szCs w:val="20"/>
              </w:rPr>
            </w:pPr>
            <w:r w:rsidRPr="001B33B0">
              <w:rPr>
                <w:rFonts w:eastAsia="Times New Roman" w:cs="Arial"/>
                <w:sz w:val="20"/>
                <w:szCs w:val="20"/>
              </w:rPr>
              <w:t>13,136</w:t>
            </w:r>
          </w:p>
        </w:tc>
        <w:tc>
          <w:tcPr>
            <w:tcW w:w="1096" w:type="dxa"/>
            <w:tcBorders>
              <w:top w:val="nil"/>
              <w:left w:val="nil"/>
              <w:bottom w:val="nil"/>
              <w:right w:val="nil"/>
            </w:tcBorders>
            <w:noWrap/>
            <w:vAlign w:val="bottom"/>
            <w:hideMark/>
          </w:tcPr>
          <w:p w14:paraId="55569C6E" w14:textId="77777777" w:rsidR="00A70B77" w:rsidRPr="001B33B0" w:rsidRDefault="00A70B77" w:rsidP="00A70B77">
            <w:pPr>
              <w:spacing w:after="0" w:line="240" w:lineRule="auto"/>
              <w:jc w:val="right"/>
              <w:rPr>
                <w:rFonts w:eastAsia="Times New Roman" w:cs="Arial"/>
                <w:sz w:val="20"/>
                <w:szCs w:val="20"/>
              </w:rPr>
            </w:pPr>
            <w:r w:rsidRPr="001B33B0">
              <w:rPr>
                <w:rFonts w:eastAsia="Times New Roman" w:cs="Arial"/>
                <w:sz w:val="20"/>
                <w:szCs w:val="20"/>
              </w:rPr>
              <w:t>14,913</w:t>
            </w:r>
          </w:p>
        </w:tc>
        <w:tc>
          <w:tcPr>
            <w:tcW w:w="1050" w:type="dxa"/>
            <w:tcBorders>
              <w:top w:val="nil"/>
              <w:left w:val="nil"/>
              <w:bottom w:val="nil"/>
              <w:right w:val="nil"/>
            </w:tcBorders>
            <w:noWrap/>
            <w:vAlign w:val="bottom"/>
            <w:hideMark/>
          </w:tcPr>
          <w:p w14:paraId="76BBF85B" w14:textId="77777777" w:rsidR="00A70B77" w:rsidRPr="001B33B0" w:rsidRDefault="00A70B77" w:rsidP="00A70B77">
            <w:pPr>
              <w:spacing w:after="0" w:line="240" w:lineRule="auto"/>
              <w:jc w:val="right"/>
              <w:rPr>
                <w:rFonts w:eastAsia="Times New Roman" w:cs="Arial"/>
                <w:sz w:val="20"/>
                <w:szCs w:val="20"/>
              </w:rPr>
            </w:pPr>
            <w:r w:rsidRPr="001B33B0">
              <w:rPr>
                <w:rFonts w:eastAsia="Times New Roman" w:cs="Arial"/>
                <w:sz w:val="20"/>
                <w:szCs w:val="20"/>
              </w:rPr>
              <w:t>16,780</w:t>
            </w:r>
          </w:p>
        </w:tc>
        <w:tc>
          <w:tcPr>
            <w:tcW w:w="1050" w:type="dxa"/>
            <w:tcBorders>
              <w:top w:val="nil"/>
              <w:left w:val="nil"/>
              <w:bottom w:val="nil"/>
              <w:right w:val="nil"/>
            </w:tcBorders>
            <w:noWrap/>
            <w:vAlign w:val="bottom"/>
            <w:hideMark/>
          </w:tcPr>
          <w:p w14:paraId="2433B771" w14:textId="77777777" w:rsidR="00A70B77" w:rsidRPr="001B33B0" w:rsidRDefault="00A70B77" w:rsidP="00A70B77">
            <w:pPr>
              <w:spacing w:after="0" w:line="240" w:lineRule="auto"/>
              <w:jc w:val="right"/>
              <w:rPr>
                <w:rFonts w:eastAsia="Times New Roman" w:cs="Arial"/>
                <w:sz w:val="20"/>
                <w:szCs w:val="20"/>
              </w:rPr>
            </w:pPr>
            <w:r w:rsidRPr="001B33B0">
              <w:rPr>
                <w:rFonts w:eastAsia="Times New Roman" w:cs="Arial"/>
                <w:sz w:val="20"/>
                <w:szCs w:val="20"/>
              </w:rPr>
              <w:t>18,731</w:t>
            </w:r>
          </w:p>
        </w:tc>
      </w:tr>
      <w:tr w:rsidR="00A70B77" w:rsidRPr="001B33B0" w14:paraId="49D0680E" w14:textId="77777777" w:rsidTr="00A70B77">
        <w:trPr>
          <w:trHeight w:val="288"/>
        </w:trPr>
        <w:tc>
          <w:tcPr>
            <w:tcW w:w="3456" w:type="dxa"/>
            <w:tcBorders>
              <w:top w:val="nil"/>
              <w:left w:val="nil"/>
              <w:bottom w:val="nil"/>
              <w:right w:val="nil"/>
            </w:tcBorders>
            <w:noWrap/>
            <w:vAlign w:val="bottom"/>
            <w:hideMark/>
          </w:tcPr>
          <w:p w14:paraId="01A8F30F" w14:textId="77777777" w:rsidR="00A70B77" w:rsidRPr="001B33B0" w:rsidRDefault="00A70B77" w:rsidP="00A70B77">
            <w:pPr>
              <w:spacing w:after="0" w:line="240" w:lineRule="auto"/>
              <w:rPr>
                <w:rFonts w:eastAsia="Times New Roman" w:cs="Arial"/>
                <w:color w:val="000000"/>
                <w:sz w:val="20"/>
                <w:szCs w:val="20"/>
              </w:rPr>
            </w:pPr>
            <w:r w:rsidRPr="001B33B0">
              <w:rPr>
                <w:rFonts w:eastAsia="Times New Roman" w:cs="Arial"/>
                <w:color w:val="000000"/>
                <w:sz w:val="20"/>
                <w:szCs w:val="20"/>
              </w:rPr>
              <w:t>Changes in Working Capital</w:t>
            </w:r>
          </w:p>
        </w:tc>
        <w:tc>
          <w:tcPr>
            <w:tcW w:w="1616" w:type="dxa"/>
            <w:tcBorders>
              <w:top w:val="nil"/>
              <w:left w:val="nil"/>
              <w:bottom w:val="nil"/>
              <w:right w:val="nil"/>
            </w:tcBorders>
            <w:noWrap/>
            <w:vAlign w:val="bottom"/>
            <w:hideMark/>
          </w:tcPr>
          <w:p w14:paraId="498141B8" w14:textId="77777777" w:rsidR="00A70B77" w:rsidRPr="001B33B0" w:rsidRDefault="00A70B77" w:rsidP="00A70B77">
            <w:pPr>
              <w:spacing w:after="0" w:line="240" w:lineRule="auto"/>
              <w:rPr>
                <w:rFonts w:eastAsia="Times New Roman" w:cs="Arial"/>
                <w:color w:val="000000"/>
                <w:sz w:val="20"/>
                <w:szCs w:val="20"/>
              </w:rPr>
            </w:pPr>
          </w:p>
        </w:tc>
        <w:tc>
          <w:tcPr>
            <w:tcW w:w="1876" w:type="dxa"/>
            <w:tcBorders>
              <w:top w:val="nil"/>
              <w:left w:val="nil"/>
              <w:bottom w:val="nil"/>
              <w:right w:val="nil"/>
            </w:tcBorders>
            <w:noWrap/>
            <w:vAlign w:val="bottom"/>
            <w:hideMark/>
          </w:tcPr>
          <w:p w14:paraId="7EC2FD51" w14:textId="77777777" w:rsidR="00A70B77" w:rsidRPr="001B33B0" w:rsidRDefault="00A70B77" w:rsidP="00A70B77">
            <w:pPr>
              <w:spacing w:after="0" w:line="240" w:lineRule="auto"/>
              <w:jc w:val="right"/>
              <w:rPr>
                <w:rFonts w:eastAsia="Times New Roman" w:cs="Arial"/>
                <w:sz w:val="20"/>
                <w:szCs w:val="20"/>
              </w:rPr>
            </w:pPr>
            <w:r w:rsidRPr="001B33B0">
              <w:rPr>
                <w:rFonts w:eastAsia="Times New Roman" w:cs="Arial"/>
                <w:sz w:val="20"/>
                <w:szCs w:val="20"/>
              </w:rPr>
              <w:t>(2,928)</w:t>
            </w:r>
          </w:p>
        </w:tc>
        <w:tc>
          <w:tcPr>
            <w:tcW w:w="1050" w:type="dxa"/>
            <w:tcBorders>
              <w:top w:val="nil"/>
              <w:left w:val="nil"/>
              <w:bottom w:val="nil"/>
              <w:right w:val="nil"/>
            </w:tcBorders>
            <w:noWrap/>
            <w:vAlign w:val="bottom"/>
            <w:hideMark/>
          </w:tcPr>
          <w:p w14:paraId="197D110D" w14:textId="77777777" w:rsidR="00A70B77" w:rsidRPr="001B33B0" w:rsidRDefault="00A70B77" w:rsidP="00A70B77">
            <w:pPr>
              <w:spacing w:after="0" w:line="240" w:lineRule="auto"/>
              <w:jc w:val="right"/>
              <w:rPr>
                <w:rFonts w:eastAsia="Times New Roman" w:cs="Arial"/>
                <w:sz w:val="20"/>
                <w:szCs w:val="20"/>
              </w:rPr>
            </w:pPr>
            <w:r w:rsidRPr="001B33B0">
              <w:rPr>
                <w:rFonts w:eastAsia="Times New Roman" w:cs="Arial"/>
                <w:sz w:val="20"/>
                <w:szCs w:val="20"/>
              </w:rPr>
              <w:t>3,675</w:t>
            </w:r>
          </w:p>
        </w:tc>
        <w:tc>
          <w:tcPr>
            <w:tcW w:w="1096" w:type="dxa"/>
            <w:tcBorders>
              <w:top w:val="nil"/>
              <w:left w:val="nil"/>
              <w:bottom w:val="nil"/>
              <w:right w:val="nil"/>
            </w:tcBorders>
            <w:noWrap/>
            <w:vAlign w:val="bottom"/>
            <w:hideMark/>
          </w:tcPr>
          <w:p w14:paraId="6E03E6AD" w14:textId="77777777" w:rsidR="00A70B77" w:rsidRPr="001B33B0" w:rsidRDefault="00A70B77" w:rsidP="00A70B77">
            <w:pPr>
              <w:spacing w:after="0" w:line="240" w:lineRule="auto"/>
              <w:jc w:val="right"/>
              <w:rPr>
                <w:rFonts w:eastAsia="Times New Roman" w:cs="Arial"/>
                <w:sz w:val="20"/>
                <w:szCs w:val="20"/>
              </w:rPr>
            </w:pPr>
            <w:r w:rsidRPr="001B33B0">
              <w:rPr>
                <w:rFonts w:eastAsia="Times New Roman" w:cs="Arial"/>
                <w:sz w:val="20"/>
                <w:szCs w:val="20"/>
              </w:rPr>
              <w:t>2,903</w:t>
            </w:r>
          </w:p>
        </w:tc>
        <w:tc>
          <w:tcPr>
            <w:tcW w:w="1050" w:type="dxa"/>
            <w:tcBorders>
              <w:top w:val="nil"/>
              <w:left w:val="nil"/>
              <w:bottom w:val="nil"/>
              <w:right w:val="nil"/>
            </w:tcBorders>
            <w:noWrap/>
            <w:vAlign w:val="bottom"/>
            <w:hideMark/>
          </w:tcPr>
          <w:p w14:paraId="26B57B94" w14:textId="77777777" w:rsidR="00A70B77" w:rsidRPr="001B33B0" w:rsidRDefault="00A70B77" w:rsidP="00A70B77">
            <w:pPr>
              <w:spacing w:after="0" w:line="240" w:lineRule="auto"/>
              <w:jc w:val="right"/>
              <w:rPr>
                <w:rFonts w:eastAsia="Times New Roman" w:cs="Arial"/>
                <w:sz w:val="20"/>
                <w:szCs w:val="20"/>
              </w:rPr>
            </w:pPr>
            <w:r w:rsidRPr="001B33B0">
              <w:rPr>
                <w:rFonts w:eastAsia="Times New Roman" w:cs="Arial"/>
                <w:sz w:val="20"/>
                <w:szCs w:val="20"/>
              </w:rPr>
              <w:t>2,785</w:t>
            </w:r>
          </w:p>
        </w:tc>
        <w:tc>
          <w:tcPr>
            <w:tcW w:w="1050" w:type="dxa"/>
            <w:tcBorders>
              <w:top w:val="nil"/>
              <w:left w:val="nil"/>
              <w:bottom w:val="nil"/>
              <w:right w:val="nil"/>
            </w:tcBorders>
            <w:noWrap/>
            <w:vAlign w:val="bottom"/>
            <w:hideMark/>
          </w:tcPr>
          <w:p w14:paraId="1B5292A4" w14:textId="77777777" w:rsidR="00A70B77" w:rsidRPr="001B33B0" w:rsidRDefault="00A70B77" w:rsidP="00A70B77">
            <w:pPr>
              <w:spacing w:after="0" w:line="240" w:lineRule="auto"/>
              <w:jc w:val="right"/>
              <w:rPr>
                <w:rFonts w:eastAsia="Times New Roman" w:cs="Arial"/>
                <w:sz w:val="20"/>
                <w:szCs w:val="20"/>
              </w:rPr>
            </w:pPr>
            <w:r w:rsidRPr="001B33B0">
              <w:rPr>
                <w:rFonts w:eastAsia="Times New Roman" w:cs="Arial"/>
                <w:sz w:val="20"/>
                <w:szCs w:val="20"/>
              </w:rPr>
              <w:t>2,632</w:t>
            </w:r>
          </w:p>
        </w:tc>
      </w:tr>
      <w:tr w:rsidR="00A70B77" w:rsidRPr="001B33B0" w14:paraId="3C4FC292" w14:textId="77777777" w:rsidTr="00A70B77">
        <w:trPr>
          <w:trHeight w:val="288"/>
        </w:trPr>
        <w:tc>
          <w:tcPr>
            <w:tcW w:w="3456" w:type="dxa"/>
            <w:tcBorders>
              <w:top w:val="nil"/>
              <w:left w:val="nil"/>
              <w:bottom w:val="nil"/>
              <w:right w:val="nil"/>
            </w:tcBorders>
            <w:noWrap/>
            <w:vAlign w:val="bottom"/>
            <w:hideMark/>
          </w:tcPr>
          <w:p w14:paraId="5B34D00E" w14:textId="77777777" w:rsidR="00A70B77" w:rsidRPr="001B33B0" w:rsidRDefault="00A70B77" w:rsidP="00A70B77">
            <w:pPr>
              <w:spacing w:after="0" w:line="240" w:lineRule="auto"/>
              <w:rPr>
                <w:rFonts w:eastAsia="Times New Roman" w:cs="Arial"/>
                <w:color w:val="000000"/>
                <w:sz w:val="20"/>
                <w:szCs w:val="20"/>
              </w:rPr>
            </w:pPr>
            <w:r w:rsidRPr="001B33B0">
              <w:rPr>
                <w:rFonts w:eastAsia="Times New Roman" w:cs="Arial"/>
                <w:color w:val="000000"/>
                <w:sz w:val="20"/>
                <w:szCs w:val="20"/>
              </w:rPr>
              <w:t>Capital Expenditure</w:t>
            </w:r>
          </w:p>
        </w:tc>
        <w:tc>
          <w:tcPr>
            <w:tcW w:w="1616" w:type="dxa"/>
            <w:tcBorders>
              <w:top w:val="nil"/>
              <w:left w:val="nil"/>
              <w:bottom w:val="nil"/>
              <w:right w:val="nil"/>
            </w:tcBorders>
            <w:noWrap/>
            <w:vAlign w:val="bottom"/>
            <w:hideMark/>
          </w:tcPr>
          <w:p w14:paraId="141E834D" w14:textId="77777777" w:rsidR="00A70B77" w:rsidRPr="001B33B0" w:rsidRDefault="00A70B77" w:rsidP="00A70B77">
            <w:pPr>
              <w:spacing w:after="0" w:line="240" w:lineRule="auto"/>
              <w:rPr>
                <w:rFonts w:eastAsia="Times New Roman" w:cs="Arial"/>
                <w:color w:val="000000"/>
                <w:sz w:val="20"/>
                <w:szCs w:val="20"/>
              </w:rPr>
            </w:pPr>
          </w:p>
        </w:tc>
        <w:tc>
          <w:tcPr>
            <w:tcW w:w="1876" w:type="dxa"/>
            <w:tcBorders>
              <w:top w:val="nil"/>
              <w:left w:val="nil"/>
              <w:bottom w:val="nil"/>
              <w:right w:val="nil"/>
            </w:tcBorders>
            <w:noWrap/>
            <w:vAlign w:val="bottom"/>
            <w:hideMark/>
          </w:tcPr>
          <w:p w14:paraId="719FEF1F" w14:textId="77777777" w:rsidR="00A70B77" w:rsidRPr="001B33B0" w:rsidRDefault="00A70B77" w:rsidP="00A70B77">
            <w:pPr>
              <w:spacing w:after="0" w:line="240" w:lineRule="auto"/>
              <w:jc w:val="right"/>
              <w:rPr>
                <w:rFonts w:eastAsia="Times New Roman" w:cs="Arial"/>
                <w:sz w:val="20"/>
                <w:szCs w:val="20"/>
              </w:rPr>
            </w:pPr>
            <w:r w:rsidRPr="001B33B0">
              <w:rPr>
                <w:rFonts w:eastAsia="Times New Roman" w:cs="Arial"/>
                <w:sz w:val="20"/>
                <w:szCs w:val="20"/>
              </w:rPr>
              <w:t>(13,354)</w:t>
            </w:r>
          </w:p>
        </w:tc>
        <w:tc>
          <w:tcPr>
            <w:tcW w:w="1050" w:type="dxa"/>
            <w:tcBorders>
              <w:top w:val="nil"/>
              <w:left w:val="nil"/>
              <w:bottom w:val="nil"/>
              <w:right w:val="nil"/>
            </w:tcBorders>
            <w:noWrap/>
            <w:vAlign w:val="bottom"/>
            <w:hideMark/>
          </w:tcPr>
          <w:p w14:paraId="1FA56369" w14:textId="77777777" w:rsidR="00A70B77" w:rsidRPr="001B33B0" w:rsidRDefault="00A70B77" w:rsidP="00A70B77">
            <w:pPr>
              <w:spacing w:after="0" w:line="240" w:lineRule="auto"/>
              <w:jc w:val="right"/>
              <w:rPr>
                <w:rFonts w:eastAsia="Times New Roman" w:cs="Arial"/>
                <w:sz w:val="20"/>
                <w:szCs w:val="20"/>
              </w:rPr>
            </w:pPr>
            <w:r w:rsidRPr="001B33B0">
              <w:rPr>
                <w:rFonts w:eastAsia="Times New Roman" w:cs="Arial"/>
                <w:sz w:val="20"/>
                <w:szCs w:val="20"/>
              </w:rPr>
              <w:t>(15,166)</w:t>
            </w:r>
          </w:p>
        </w:tc>
        <w:tc>
          <w:tcPr>
            <w:tcW w:w="1096" w:type="dxa"/>
            <w:tcBorders>
              <w:top w:val="nil"/>
              <w:left w:val="nil"/>
              <w:bottom w:val="nil"/>
              <w:right w:val="nil"/>
            </w:tcBorders>
            <w:noWrap/>
            <w:vAlign w:val="bottom"/>
            <w:hideMark/>
          </w:tcPr>
          <w:p w14:paraId="26E38365" w14:textId="77777777" w:rsidR="00A70B77" w:rsidRPr="001B33B0" w:rsidRDefault="00A70B77" w:rsidP="00A70B77">
            <w:pPr>
              <w:spacing w:after="0" w:line="240" w:lineRule="auto"/>
              <w:jc w:val="right"/>
              <w:rPr>
                <w:rFonts w:eastAsia="Times New Roman" w:cs="Arial"/>
                <w:sz w:val="20"/>
                <w:szCs w:val="20"/>
              </w:rPr>
            </w:pPr>
            <w:r w:rsidRPr="001B33B0">
              <w:rPr>
                <w:rFonts w:eastAsia="Times New Roman" w:cs="Arial"/>
                <w:sz w:val="20"/>
                <w:szCs w:val="20"/>
              </w:rPr>
              <w:t>(16,000)</w:t>
            </w:r>
          </w:p>
        </w:tc>
        <w:tc>
          <w:tcPr>
            <w:tcW w:w="1050" w:type="dxa"/>
            <w:tcBorders>
              <w:top w:val="nil"/>
              <w:left w:val="nil"/>
              <w:bottom w:val="nil"/>
              <w:right w:val="nil"/>
            </w:tcBorders>
            <w:noWrap/>
            <w:vAlign w:val="bottom"/>
            <w:hideMark/>
          </w:tcPr>
          <w:p w14:paraId="013481C7" w14:textId="77777777" w:rsidR="00A70B77" w:rsidRPr="001B33B0" w:rsidRDefault="00A70B77" w:rsidP="00A70B77">
            <w:pPr>
              <w:spacing w:after="0" w:line="240" w:lineRule="auto"/>
              <w:jc w:val="right"/>
              <w:rPr>
                <w:rFonts w:eastAsia="Times New Roman" w:cs="Arial"/>
                <w:sz w:val="20"/>
                <w:szCs w:val="20"/>
              </w:rPr>
            </w:pPr>
            <w:r w:rsidRPr="001B33B0">
              <w:rPr>
                <w:rFonts w:eastAsia="Times New Roman" w:cs="Arial"/>
                <w:sz w:val="20"/>
                <w:szCs w:val="20"/>
              </w:rPr>
              <w:t>(16,800)</w:t>
            </w:r>
          </w:p>
        </w:tc>
        <w:tc>
          <w:tcPr>
            <w:tcW w:w="1050" w:type="dxa"/>
            <w:tcBorders>
              <w:top w:val="nil"/>
              <w:left w:val="nil"/>
              <w:bottom w:val="nil"/>
              <w:right w:val="nil"/>
            </w:tcBorders>
            <w:noWrap/>
            <w:vAlign w:val="bottom"/>
            <w:hideMark/>
          </w:tcPr>
          <w:p w14:paraId="566358BA" w14:textId="77777777" w:rsidR="00A70B77" w:rsidRPr="001B33B0" w:rsidRDefault="00A70B77" w:rsidP="00A70B77">
            <w:pPr>
              <w:spacing w:after="0" w:line="240" w:lineRule="auto"/>
              <w:jc w:val="right"/>
              <w:rPr>
                <w:rFonts w:eastAsia="Times New Roman" w:cs="Arial"/>
                <w:sz w:val="20"/>
                <w:szCs w:val="20"/>
              </w:rPr>
            </w:pPr>
            <w:r w:rsidRPr="001B33B0">
              <w:rPr>
                <w:rFonts w:eastAsia="Times New Roman" w:cs="Arial"/>
                <w:sz w:val="20"/>
                <w:szCs w:val="20"/>
              </w:rPr>
              <w:t>(17,556)</w:t>
            </w:r>
          </w:p>
        </w:tc>
      </w:tr>
      <w:tr w:rsidR="00A70B77" w:rsidRPr="001B33B0" w14:paraId="25D2D866" w14:textId="77777777" w:rsidTr="00A70B77">
        <w:trPr>
          <w:trHeight w:val="288"/>
        </w:trPr>
        <w:tc>
          <w:tcPr>
            <w:tcW w:w="3456" w:type="dxa"/>
            <w:tcBorders>
              <w:top w:val="nil"/>
              <w:left w:val="nil"/>
              <w:bottom w:val="nil"/>
              <w:right w:val="nil"/>
            </w:tcBorders>
            <w:noWrap/>
            <w:vAlign w:val="bottom"/>
            <w:hideMark/>
          </w:tcPr>
          <w:p w14:paraId="5AE828AA" w14:textId="77777777" w:rsidR="00A70B77" w:rsidRPr="001B33B0" w:rsidRDefault="00A70B77" w:rsidP="00A70B77">
            <w:pPr>
              <w:spacing w:after="0" w:line="240" w:lineRule="auto"/>
              <w:rPr>
                <w:rFonts w:eastAsia="Times New Roman" w:cs="Arial"/>
                <w:color w:val="000000"/>
                <w:sz w:val="20"/>
                <w:szCs w:val="20"/>
              </w:rPr>
            </w:pPr>
            <w:r w:rsidRPr="001B33B0">
              <w:rPr>
                <w:rFonts w:eastAsia="Times New Roman" w:cs="Arial"/>
                <w:color w:val="000000"/>
                <w:sz w:val="20"/>
                <w:szCs w:val="20"/>
              </w:rPr>
              <w:t>Taxes (tax rate x EBIT)</w:t>
            </w:r>
          </w:p>
        </w:tc>
        <w:tc>
          <w:tcPr>
            <w:tcW w:w="1616" w:type="dxa"/>
            <w:tcBorders>
              <w:top w:val="nil"/>
              <w:left w:val="nil"/>
              <w:bottom w:val="nil"/>
              <w:right w:val="nil"/>
            </w:tcBorders>
            <w:noWrap/>
            <w:vAlign w:val="bottom"/>
            <w:hideMark/>
          </w:tcPr>
          <w:p w14:paraId="176CE27E" w14:textId="77777777" w:rsidR="00A70B77" w:rsidRPr="001B33B0" w:rsidRDefault="00A70B77" w:rsidP="00A70B77">
            <w:pPr>
              <w:spacing w:after="0" w:line="240" w:lineRule="auto"/>
              <w:rPr>
                <w:rFonts w:eastAsia="Times New Roman" w:cs="Arial"/>
                <w:color w:val="000000"/>
                <w:sz w:val="20"/>
                <w:szCs w:val="20"/>
              </w:rPr>
            </w:pPr>
          </w:p>
        </w:tc>
        <w:tc>
          <w:tcPr>
            <w:tcW w:w="1876" w:type="dxa"/>
            <w:tcBorders>
              <w:top w:val="nil"/>
              <w:left w:val="nil"/>
              <w:bottom w:val="nil"/>
              <w:right w:val="nil"/>
            </w:tcBorders>
            <w:noWrap/>
            <w:vAlign w:val="bottom"/>
            <w:hideMark/>
          </w:tcPr>
          <w:p w14:paraId="4739C25B" w14:textId="77777777" w:rsidR="00A70B77" w:rsidRPr="001B33B0" w:rsidRDefault="00A70B77" w:rsidP="00A70B77">
            <w:pPr>
              <w:spacing w:after="0" w:line="240" w:lineRule="auto"/>
              <w:jc w:val="right"/>
              <w:rPr>
                <w:rFonts w:eastAsia="Times New Roman" w:cs="Arial"/>
                <w:sz w:val="20"/>
                <w:szCs w:val="20"/>
              </w:rPr>
            </w:pPr>
            <w:r w:rsidRPr="001B33B0">
              <w:rPr>
                <w:rFonts w:eastAsia="Times New Roman" w:cs="Arial"/>
                <w:sz w:val="20"/>
                <w:szCs w:val="20"/>
              </w:rPr>
              <w:t>(26,593)</w:t>
            </w:r>
          </w:p>
        </w:tc>
        <w:tc>
          <w:tcPr>
            <w:tcW w:w="1050" w:type="dxa"/>
            <w:tcBorders>
              <w:top w:val="nil"/>
              <w:left w:val="nil"/>
              <w:bottom w:val="nil"/>
              <w:right w:val="nil"/>
            </w:tcBorders>
            <w:noWrap/>
            <w:vAlign w:val="bottom"/>
            <w:hideMark/>
          </w:tcPr>
          <w:p w14:paraId="0DE1FAF2" w14:textId="77777777" w:rsidR="00A70B77" w:rsidRPr="001B33B0" w:rsidRDefault="00A70B77" w:rsidP="00A70B77">
            <w:pPr>
              <w:spacing w:after="0" w:line="240" w:lineRule="auto"/>
              <w:jc w:val="right"/>
              <w:rPr>
                <w:rFonts w:eastAsia="Times New Roman" w:cs="Arial"/>
                <w:sz w:val="20"/>
                <w:szCs w:val="20"/>
              </w:rPr>
            </w:pPr>
            <w:r w:rsidRPr="001B33B0">
              <w:rPr>
                <w:rFonts w:eastAsia="Times New Roman" w:cs="Arial"/>
                <w:sz w:val="20"/>
                <w:szCs w:val="20"/>
              </w:rPr>
              <w:t>(27,243)</w:t>
            </w:r>
          </w:p>
        </w:tc>
        <w:tc>
          <w:tcPr>
            <w:tcW w:w="1096" w:type="dxa"/>
            <w:tcBorders>
              <w:top w:val="nil"/>
              <w:left w:val="nil"/>
              <w:bottom w:val="nil"/>
              <w:right w:val="nil"/>
            </w:tcBorders>
            <w:noWrap/>
            <w:vAlign w:val="bottom"/>
            <w:hideMark/>
          </w:tcPr>
          <w:p w14:paraId="3164E03F" w14:textId="77777777" w:rsidR="00A70B77" w:rsidRPr="001B33B0" w:rsidRDefault="00A70B77" w:rsidP="00A70B77">
            <w:pPr>
              <w:spacing w:after="0" w:line="240" w:lineRule="auto"/>
              <w:jc w:val="right"/>
              <w:rPr>
                <w:rFonts w:eastAsia="Times New Roman" w:cs="Arial"/>
                <w:sz w:val="20"/>
                <w:szCs w:val="20"/>
              </w:rPr>
            </w:pPr>
            <w:r w:rsidRPr="001B33B0">
              <w:rPr>
                <w:rFonts w:eastAsia="Times New Roman" w:cs="Arial"/>
                <w:sz w:val="20"/>
                <w:szCs w:val="20"/>
              </w:rPr>
              <w:t>(28,742)</w:t>
            </w:r>
          </w:p>
        </w:tc>
        <w:tc>
          <w:tcPr>
            <w:tcW w:w="1050" w:type="dxa"/>
            <w:tcBorders>
              <w:top w:val="nil"/>
              <w:left w:val="nil"/>
              <w:bottom w:val="nil"/>
              <w:right w:val="nil"/>
            </w:tcBorders>
            <w:noWrap/>
            <w:vAlign w:val="bottom"/>
            <w:hideMark/>
          </w:tcPr>
          <w:p w14:paraId="05FB8B8F" w14:textId="77777777" w:rsidR="00A70B77" w:rsidRPr="001B33B0" w:rsidRDefault="00A70B77" w:rsidP="00A70B77">
            <w:pPr>
              <w:spacing w:after="0" w:line="240" w:lineRule="auto"/>
              <w:jc w:val="right"/>
              <w:rPr>
                <w:rFonts w:eastAsia="Times New Roman" w:cs="Arial"/>
                <w:sz w:val="20"/>
                <w:szCs w:val="20"/>
              </w:rPr>
            </w:pPr>
            <w:r w:rsidRPr="001B33B0">
              <w:rPr>
                <w:rFonts w:eastAsia="Times New Roman" w:cs="Arial"/>
                <w:sz w:val="20"/>
                <w:szCs w:val="20"/>
              </w:rPr>
              <w:t>(30,179)</w:t>
            </w:r>
          </w:p>
        </w:tc>
        <w:tc>
          <w:tcPr>
            <w:tcW w:w="1050" w:type="dxa"/>
            <w:tcBorders>
              <w:top w:val="nil"/>
              <w:left w:val="nil"/>
              <w:bottom w:val="nil"/>
              <w:right w:val="nil"/>
            </w:tcBorders>
            <w:noWrap/>
            <w:vAlign w:val="bottom"/>
            <w:hideMark/>
          </w:tcPr>
          <w:p w14:paraId="1E25A90B" w14:textId="77777777" w:rsidR="00A70B77" w:rsidRPr="001B33B0" w:rsidRDefault="00A70B77" w:rsidP="00A70B77">
            <w:pPr>
              <w:spacing w:after="0" w:line="240" w:lineRule="auto"/>
              <w:jc w:val="right"/>
              <w:rPr>
                <w:rFonts w:eastAsia="Times New Roman" w:cs="Arial"/>
                <w:sz w:val="20"/>
                <w:szCs w:val="20"/>
              </w:rPr>
            </w:pPr>
            <w:r w:rsidRPr="001B33B0">
              <w:rPr>
                <w:rFonts w:eastAsia="Times New Roman" w:cs="Arial"/>
                <w:sz w:val="20"/>
                <w:szCs w:val="20"/>
              </w:rPr>
              <w:t>(31,537)</w:t>
            </w:r>
          </w:p>
        </w:tc>
      </w:tr>
      <w:tr w:rsidR="00A70B77" w:rsidRPr="001B33B0" w14:paraId="54EA3C92" w14:textId="77777777" w:rsidTr="00A70B77">
        <w:trPr>
          <w:trHeight w:val="288"/>
        </w:trPr>
        <w:tc>
          <w:tcPr>
            <w:tcW w:w="3456" w:type="dxa"/>
            <w:tcBorders>
              <w:top w:val="nil"/>
              <w:left w:val="nil"/>
              <w:bottom w:val="nil"/>
              <w:right w:val="nil"/>
            </w:tcBorders>
            <w:noWrap/>
            <w:vAlign w:val="bottom"/>
            <w:hideMark/>
          </w:tcPr>
          <w:p w14:paraId="24C48CE2" w14:textId="77777777" w:rsidR="00A70B77" w:rsidRPr="001B33B0" w:rsidRDefault="00A70B77" w:rsidP="00A70B77">
            <w:pPr>
              <w:spacing w:after="0" w:line="240" w:lineRule="auto"/>
              <w:rPr>
                <w:rFonts w:eastAsia="Times New Roman" w:cs="Arial"/>
                <w:color w:val="000000"/>
                <w:sz w:val="20"/>
                <w:szCs w:val="20"/>
              </w:rPr>
            </w:pPr>
            <w:r w:rsidRPr="001B33B0">
              <w:rPr>
                <w:rFonts w:eastAsia="Times New Roman" w:cs="Arial"/>
                <w:color w:val="000000"/>
                <w:sz w:val="20"/>
                <w:szCs w:val="20"/>
              </w:rPr>
              <w:t>Deferred income taxes</w:t>
            </w:r>
          </w:p>
        </w:tc>
        <w:tc>
          <w:tcPr>
            <w:tcW w:w="1616" w:type="dxa"/>
            <w:tcBorders>
              <w:top w:val="nil"/>
              <w:left w:val="nil"/>
              <w:bottom w:val="nil"/>
              <w:right w:val="nil"/>
            </w:tcBorders>
            <w:noWrap/>
            <w:vAlign w:val="bottom"/>
            <w:hideMark/>
          </w:tcPr>
          <w:p w14:paraId="235D8D0D" w14:textId="77777777" w:rsidR="00A70B77" w:rsidRPr="001B33B0" w:rsidRDefault="00A70B77" w:rsidP="00A70B77">
            <w:pPr>
              <w:spacing w:after="0" w:line="240" w:lineRule="auto"/>
              <w:rPr>
                <w:rFonts w:eastAsia="Times New Roman" w:cs="Arial"/>
                <w:color w:val="000000"/>
                <w:sz w:val="20"/>
                <w:szCs w:val="20"/>
              </w:rPr>
            </w:pPr>
          </w:p>
        </w:tc>
        <w:tc>
          <w:tcPr>
            <w:tcW w:w="1876" w:type="dxa"/>
            <w:tcBorders>
              <w:top w:val="nil"/>
              <w:left w:val="nil"/>
              <w:bottom w:val="nil"/>
              <w:right w:val="nil"/>
            </w:tcBorders>
            <w:noWrap/>
            <w:vAlign w:val="bottom"/>
            <w:hideMark/>
          </w:tcPr>
          <w:p w14:paraId="56F8E21F" w14:textId="77777777" w:rsidR="00A70B77" w:rsidRPr="001B33B0" w:rsidRDefault="00A70B77" w:rsidP="00A70B77">
            <w:pPr>
              <w:spacing w:after="0" w:line="240" w:lineRule="auto"/>
              <w:jc w:val="right"/>
              <w:rPr>
                <w:rFonts w:eastAsia="Times New Roman" w:cs="Arial"/>
                <w:sz w:val="20"/>
                <w:szCs w:val="20"/>
              </w:rPr>
            </w:pPr>
            <w:r w:rsidRPr="001B33B0">
              <w:rPr>
                <w:rFonts w:eastAsia="Times New Roman" w:cs="Arial"/>
                <w:sz w:val="20"/>
                <w:szCs w:val="20"/>
              </w:rPr>
              <w:t>72</w:t>
            </w:r>
          </w:p>
        </w:tc>
        <w:tc>
          <w:tcPr>
            <w:tcW w:w="1050" w:type="dxa"/>
            <w:tcBorders>
              <w:top w:val="nil"/>
              <w:left w:val="nil"/>
              <w:bottom w:val="nil"/>
              <w:right w:val="nil"/>
            </w:tcBorders>
            <w:noWrap/>
            <w:vAlign w:val="bottom"/>
            <w:hideMark/>
          </w:tcPr>
          <w:p w14:paraId="25079428" w14:textId="77777777" w:rsidR="00A70B77" w:rsidRPr="001B33B0" w:rsidRDefault="00A70B77" w:rsidP="00A70B77">
            <w:pPr>
              <w:spacing w:after="0" w:line="240" w:lineRule="auto"/>
              <w:jc w:val="right"/>
              <w:rPr>
                <w:rFonts w:eastAsia="Times New Roman" w:cs="Arial"/>
                <w:sz w:val="20"/>
                <w:szCs w:val="20"/>
              </w:rPr>
            </w:pPr>
            <w:r w:rsidRPr="001B33B0">
              <w:rPr>
                <w:rFonts w:eastAsia="Times New Roman" w:cs="Arial"/>
                <w:sz w:val="20"/>
                <w:szCs w:val="20"/>
              </w:rPr>
              <w:t>386</w:t>
            </w:r>
          </w:p>
        </w:tc>
        <w:tc>
          <w:tcPr>
            <w:tcW w:w="1096" w:type="dxa"/>
            <w:tcBorders>
              <w:top w:val="nil"/>
              <w:left w:val="nil"/>
              <w:bottom w:val="nil"/>
              <w:right w:val="nil"/>
            </w:tcBorders>
            <w:noWrap/>
            <w:vAlign w:val="bottom"/>
            <w:hideMark/>
          </w:tcPr>
          <w:p w14:paraId="2ECB94A7" w14:textId="77777777" w:rsidR="00A70B77" w:rsidRPr="001B33B0" w:rsidRDefault="00A70B77" w:rsidP="00A70B77">
            <w:pPr>
              <w:spacing w:after="0" w:line="240" w:lineRule="auto"/>
              <w:jc w:val="right"/>
              <w:rPr>
                <w:rFonts w:eastAsia="Times New Roman" w:cs="Arial"/>
                <w:sz w:val="20"/>
                <w:szCs w:val="20"/>
              </w:rPr>
            </w:pPr>
            <w:r w:rsidRPr="001B33B0">
              <w:rPr>
                <w:rFonts w:eastAsia="Times New Roman" w:cs="Arial"/>
                <w:sz w:val="20"/>
                <w:szCs w:val="20"/>
              </w:rPr>
              <w:t>576</w:t>
            </w:r>
          </w:p>
        </w:tc>
        <w:tc>
          <w:tcPr>
            <w:tcW w:w="1050" w:type="dxa"/>
            <w:tcBorders>
              <w:top w:val="nil"/>
              <w:left w:val="nil"/>
              <w:bottom w:val="nil"/>
              <w:right w:val="nil"/>
            </w:tcBorders>
            <w:noWrap/>
            <w:vAlign w:val="bottom"/>
            <w:hideMark/>
          </w:tcPr>
          <w:p w14:paraId="5312A781" w14:textId="77777777" w:rsidR="00A70B77" w:rsidRPr="001B33B0" w:rsidRDefault="00A70B77" w:rsidP="00A70B77">
            <w:pPr>
              <w:spacing w:after="0" w:line="240" w:lineRule="auto"/>
              <w:jc w:val="right"/>
              <w:rPr>
                <w:rFonts w:eastAsia="Times New Roman" w:cs="Arial"/>
                <w:sz w:val="20"/>
                <w:szCs w:val="20"/>
              </w:rPr>
            </w:pPr>
            <w:r w:rsidRPr="001B33B0">
              <w:rPr>
                <w:rFonts w:eastAsia="Times New Roman" w:cs="Arial"/>
                <w:sz w:val="20"/>
                <w:szCs w:val="20"/>
              </w:rPr>
              <w:t>650</w:t>
            </w:r>
          </w:p>
        </w:tc>
        <w:tc>
          <w:tcPr>
            <w:tcW w:w="1050" w:type="dxa"/>
            <w:tcBorders>
              <w:top w:val="nil"/>
              <w:left w:val="nil"/>
              <w:bottom w:val="nil"/>
              <w:right w:val="nil"/>
            </w:tcBorders>
            <w:noWrap/>
            <w:vAlign w:val="bottom"/>
            <w:hideMark/>
          </w:tcPr>
          <w:p w14:paraId="0DB0DBBB" w14:textId="77777777" w:rsidR="00A70B77" w:rsidRPr="001B33B0" w:rsidRDefault="00A70B77" w:rsidP="00A70B77">
            <w:pPr>
              <w:spacing w:after="0" w:line="240" w:lineRule="auto"/>
              <w:jc w:val="right"/>
              <w:rPr>
                <w:rFonts w:eastAsia="Times New Roman" w:cs="Arial"/>
                <w:sz w:val="20"/>
                <w:szCs w:val="20"/>
              </w:rPr>
            </w:pPr>
            <w:r w:rsidRPr="001B33B0">
              <w:rPr>
                <w:rFonts w:eastAsia="Times New Roman" w:cs="Arial"/>
                <w:sz w:val="20"/>
                <w:szCs w:val="20"/>
              </w:rPr>
              <w:t>637</w:t>
            </w:r>
          </w:p>
        </w:tc>
      </w:tr>
      <w:tr w:rsidR="00A70B77" w:rsidRPr="001B33B0" w14:paraId="69E7C124" w14:textId="77777777" w:rsidTr="00A70B77">
        <w:trPr>
          <w:trHeight w:val="288"/>
        </w:trPr>
        <w:tc>
          <w:tcPr>
            <w:tcW w:w="3456" w:type="dxa"/>
            <w:tcBorders>
              <w:top w:val="nil"/>
              <w:left w:val="nil"/>
              <w:bottom w:val="nil"/>
              <w:right w:val="nil"/>
            </w:tcBorders>
            <w:noWrap/>
            <w:vAlign w:val="bottom"/>
            <w:hideMark/>
          </w:tcPr>
          <w:p w14:paraId="39228A40" w14:textId="77777777" w:rsidR="00A70B77" w:rsidRPr="001B33B0" w:rsidRDefault="00A70B77" w:rsidP="00A70B77">
            <w:pPr>
              <w:spacing w:after="0" w:line="240" w:lineRule="auto"/>
              <w:rPr>
                <w:rFonts w:eastAsia="Times New Roman" w:cs="Arial"/>
                <w:b/>
                <w:bCs/>
                <w:color w:val="8064A2"/>
                <w:sz w:val="20"/>
                <w:szCs w:val="20"/>
              </w:rPr>
            </w:pPr>
            <w:r w:rsidRPr="001B33B0">
              <w:rPr>
                <w:rFonts w:eastAsia="Times New Roman" w:cs="Arial"/>
                <w:b/>
                <w:bCs/>
                <w:color w:val="8064A2"/>
                <w:sz w:val="20"/>
                <w:szCs w:val="20"/>
              </w:rPr>
              <w:t>Total Unlevered Free Cash Flow</w:t>
            </w:r>
          </w:p>
        </w:tc>
        <w:tc>
          <w:tcPr>
            <w:tcW w:w="1616" w:type="dxa"/>
            <w:tcBorders>
              <w:top w:val="nil"/>
              <w:left w:val="nil"/>
              <w:bottom w:val="nil"/>
              <w:right w:val="nil"/>
            </w:tcBorders>
            <w:noWrap/>
            <w:vAlign w:val="bottom"/>
            <w:hideMark/>
          </w:tcPr>
          <w:p w14:paraId="7D1E9196" w14:textId="77777777" w:rsidR="00A70B77" w:rsidRPr="001B33B0" w:rsidRDefault="00A70B77" w:rsidP="00A70B77">
            <w:pPr>
              <w:spacing w:after="0" w:line="240" w:lineRule="auto"/>
              <w:rPr>
                <w:rFonts w:eastAsia="Times New Roman" w:cs="Arial"/>
                <w:b/>
                <w:bCs/>
                <w:color w:val="8064A2"/>
                <w:sz w:val="20"/>
                <w:szCs w:val="20"/>
              </w:rPr>
            </w:pPr>
          </w:p>
        </w:tc>
        <w:tc>
          <w:tcPr>
            <w:tcW w:w="1876" w:type="dxa"/>
            <w:tcBorders>
              <w:top w:val="single" w:sz="4" w:space="0" w:color="auto"/>
              <w:left w:val="nil"/>
              <w:bottom w:val="single" w:sz="4" w:space="0" w:color="auto"/>
              <w:right w:val="nil"/>
            </w:tcBorders>
            <w:noWrap/>
            <w:vAlign w:val="bottom"/>
            <w:hideMark/>
          </w:tcPr>
          <w:p w14:paraId="18C42D9E" w14:textId="77777777" w:rsidR="00A70B77" w:rsidRPr="001B33B0" w:rsidRDefault="00A70B77" w:rsidP="00A70B77">
            <w:pPr>
              <w:spacing w:after="0" w:line="240" w:lineRule="auto"/>
              <w:jc w:val="right"/>
              <w:rPr>
                <w:rFonts w:eastAsia="Times New Roman" w:cs="Arial"/>
                <w:b/>
                <w:bCs/>
                <w:color w:val="000000"/>
                <w:sz w:val="20"/>
                <w:szCs w:val="20"/>
              </w:rPr>
            </w:pPr>
            <w:r w:rsidRPr="001B33B0">
              <w:rPr>
                <w:rFonts w:eastAsia="Times New Roman" w:cs="Arial"/>
                <w:b/>
                <w:bCs/>
                <w:color w:val="000000"/>
                <w:sz w:val="20"/>
                <w:szCs w:val="20"/>
              </w:rPr>
              <w:t>125,078</w:t>
            </w:r>
          </w:p>
        </w:tc>
        <w:tc>
          <w:tcPr>
            <w:tcW w:w="1050" w:type="dxa"/>
            <w:tcBorders>
              <w:top w:val="single" w:sz="4" w:space="0" w:color="auto"/>
              <w:left w:val="nil"/>
              <w:bottom w:val="single" w:sz="4" w:space="0" w:color="auto"/>
              <w:right w:val="nil"/>
            </w:tcBorders>
            <w:noWrap/>
            <w:vAlign w:val="bottom"/>
            <w:hideMark/>
          </w:tcPr>
          <w:p w14:paraId="3916BF45" w14:textId="77777777" w:rsidR="00A70B77" w:rsidRPr="001B33B0" w:rsidRDefault="00A70B77" w:rsidP="00A70B77">
            <w:pPr>
              <w:spacing w:after="0" w:line="240" w:lineRule="auto"/>
              <w:jc w:val="right"/>
              <w:rPr>
                <w:rFonts w:eastAsia="Times New Roman" w:cs="Arial"/>
                <w:b/>
                <w:bCs/>
                <w:color w:val="000000"/>
                <w:sz w:val="20"/>
                <w:szCs w:val="20"/>
              </w:rPr>
            </w:pPr>
            <w:r w:rsidRPr="001B33B0">
              <w:rPr>
                <w:rFonts w:eastAsia="Times New Roman" w:cs="Arial"/>
                <w:b/>
                <w:bCs/>
                <w:color w:val="000000"/>
                <w:sz w:val="20"/>
                <w:szCs w:val="20"/>
              </w:rPr>
              <w:t>135,042</w:t>
            </w:r>
          </w:p>
        </w:tc>
        <w:tc>
          <w:tcPr>
            <w:tcW w:w="1096" w:type="dxa"/>
            <w:tcBorders>
              <w:top w:val="single" w:sz="4" w:space="0" w:color="auto"/>
              <w:left w:val="nil"/>
              <w:bottom w:val="single" w:sz="4" w:space="0" w:color="auto"/>
              <w:right w:val="nil"/>
            </w:tcBorders>
            <w:noWrap/>
            <w:vAlign w:val="bottom"/>
            <w:hideMark/>
          </w:tcPr>
          <w:p w14:paraId="38B48EBC" w14:textId="77777777" w:rsidR="00A70B77" w:rsidRPr="001B33B0" w:rsidRDefault="00A70B77" w:rsidP="00A70B77">
            <w:pPr>
              <w:spacing w:after="0" w:line="240" w:lineRule="auto"/>
              <w:jc w:val="right"/>
              <w:rPr>
                <w:rFonts w:eastAsia="Times New Roman" w:cs="Arial"/>
                <w:b/>
                <w:bCs/>
                <w:color w:val="000000"/>
                <w:sz w:val="20"/>
                <w:szCs w:val="20"/>
              </w:rPr>
            </w:pPr>
            <w:r w:rsidRPr="001B33B0">
              <w:rPr>
                <w:rFonts w:eastAsia="Times New Roman" w:cs="Arial"/>
                <w:b/>
                <w:bCs/>
                <w:color w:val="000000"/>
                <w:sz w:val="20"/>
                <w:szCs w:val="20"/>
              </w:rPr>
              <w:t>142,720</w:t>
            </w:r>
          </w:p>
        </w:tc>
        <w:tc>
          <w:tcPr>
            <w:tcW w:w="1050" w:type="dxa"/>
            <w:tcBorders>
              <w:top w:val="single" w:sz="4" w:space="0" w:color="auto"/>
              <w:left w:val="nil"/>
              <w:bottom w:val="single" w:sz="4" w:space="0" w:color="auto"/>
              <w:right w:val="nil"/>
            </w:tcBorders>
            <w:noWrap/>
            <w:vAlign w:val="bottom"/>
            <w:hideMark/>
          </w:tcPr>
          <w:p w14:paraId="01D4A5E1" w14:textId="77777777" w:rsidR="00A70B77" w:rsidRPr="001B33B0" w:rsidRDefault="00A70B77" w:rsidP="00A70B77">
            <w:pPr>
              <w:spacing w:after="0" w:line="240" w:lineRule="auto"/>
              <w:jc w:val="right"/>
              <w:rPr>
                <w:rFonts w:eastAsia="Times New Roman" w:cs="Arial"/>
                <w:b/>
                <w:bCs/>
                <w:color w:val="000000"/>
                <w:sz w:val="20"/>
                <w:szCs w:val="20"/>
              </w:rPr>
            </w:pPr>
            <w:r w:rsidRPr="001B33B0">
              <w:rPr>
                <w:rFonts w:eastAsia="Times New Roman" w:cs="Arial"/>
                <w:b/>
                <w:bCs/>
                <w:color w:val="000000"/>
                <w:sz w:val="20"/>
                <w:szCs w:val="20"/>
              </w:rPr>
              <w:t>150,759</w:t>
            </w:r>
          </w:p>
        </w:tc>
        <w:tc>
          <w:tcPr>
            <w:tcW w:w="1050" w:type="dxa"/>
            <w:tcBorders>
              <w:top w:val="single" w:sz="4" w:space="0" w:color="auto"/>
              <w:left w:val="nil"/>
              <w:bottom w:val="single" w:sz="4" w:space="0" w:color="auto"/>
              <w:right w:val="nil"/>
            </w:tcBorders>
            <w:noWrap/>
            <w:vAlign w:val="bottom"/>
            <w:hideMark/>
          </w:tcPr>
          <w:p w14:paraId="55EC6B93" w14:textId="77777777" w:rsidR="00A70B77" w:rsidRPr="001B33B0" w:rsidRDefault="00A70B77" w:rsidP="00A70B77">
            <w:pPr>
              <w:spacing w:after="0" w:line="240" w:lineRule="auto"/>
              <w:jc w:val="right"/>
              <w:rPr>
                <w:rFonts w:eastAsia="Times New Roman" w:cs="Arial"/>
                <w:b/>
                <w:bCs/>
                <w:color w:val="000000"/>
                <w:sz w:val="20"/>
                <w:szCs w:val="20"/>
              </w:rPr>
            </w:pPr>
            <w:r w:rsidRPr="001B33B0">
              <w:rPr>
                <w:rFonts w:eastAsia="Times New Roman" w:cs="Arial"/>
                <w:b/>
                <w:bCs/>
                <w:color w:val="000000"/>
                <w:sz w:val="20"/>
                <w:szCs w:val="20"/>
              </w:rPr>
              <w:t>158,417</w:t>
            </w:r>
          </w:p>
        </w:tc>
      </w:tr>
      <w:tr w:rsidR="00A70B77" w:rsidRPr="001B33B0" w14:paraId="12B42063" w14:textId="77777777" w:rsidTr="00A70B77">
        <w:trPr>
          <w:trHeight w:val="288"/>
        </w:trPr>
        <w:tc>
          <w:tcPr>
            <w:tcW w:w="3456" w:type="dxa"/>
            <w:tcBorders>
              <w:top w:val="nil"/>
              <w:left w:val="nil"/>
              <w:bottom w:val="nil"/>
              <w:right w:val="nil"/>
            </w:tcBorders>
            <w:noWrap/>
            <w:vAlign w:val="bottom"/>
            <w:hideMark/>
          </w:tcPr>
          <w:p w14:paraId="7AE971A5" w14:textId="77777777" w:rsidR="00A70B77" w:rsidRPr="001B33B0" w:rsidRDefault="00A70B77" w:rsidP="00A70B77">
            <w:pPr>
              <w:spacing w:after="0" w:line="240" w:lineRule="auto"/>
              <w:jc w:val="right"/>
              <w:rPr>
                <w:rFonts w:eastAsia="Times New Roman" w:cs="Arial"/>
                <w:b/>
                <w:bCs/>
                <w:color w:val="000000"/>
                <w:sz w:val="20"/>
                <w:szCs w:val="20"/>
              </w:rPr>
            </w:pPr>
          </w:p>
        </w:tc>
        <w:tc>
          <w:tcPr>
            <w:tcW w:w="1616" w:type="dxa"/>
            <w:tcBorders>
              <w:top w:val="nil"/>
              <w:left w:val="nil"/>
              <w:bottom w:val="nil"/>
              <w:right w:val="nil"/>
            </w:tcBorders>
            <w:noWrap/>
            <w:vAlign w:val="bottom"/>
            <w:hideMark/>
          </w:tcPr>
          <w:p w14:paraId="68B9B289"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876" w:type="dxa"/>
            <w:tcBorders>
              <w:top w:val="nil"/>
              <w:left w:val="nil"/>
              <w:bottom w:val="nil"/>
              <w:right w:val="nil"/>
            </w:tcBorders>
            <w:noWrap/>
            <w:vAlign w:val="bottom"/>
            <w:hideMark/>
          </w:tcPr>
          <w:p w14:paraId="37032BAE"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0FAF79FF"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96" w:type="dxa"/>
            <w:tcBorders>
              <w:top w:val="nil"/>
              <w:left w:val="nil"/>
              <w:bottom w:val="nil"/>
              <w:right w:val="nil"/>
            </w:tcBorders>
            <w:noWrap/>
            <w:vAlign w:val="bottom"/>
            <w:hideMark/>
          </w:tcPr>
          <w:p w14:paraId="59E7DF90"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2F786C6F"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39E49EFD" w14:textId="77777777" w:rsidR="00A70B77" w:rsidRPr="001B33B0" w:rsidRDefault="00A70B77" w:rsidP="00A70B77">
            <w:pPr>
              <w:spacing w:after="0" w:line="240" w:lineRule="auto"/>
              <w:rPr>
                <w:rFonts w:ascii="Times New Roman" w:eastAsia="Times New Roman" w:hAnsi="Times New Roman" w:cs="Times New Roman"/>
                <w:sz w:val="20"/>
                <w:szCs w:val="20"/>
              </w:rPr>
            </w:pPr>
          </w:p>
        </w:tc>
      </w:tr>
      <w:tr w:rsidR="00A70B77" w:rsidRPr="001B33B0" w14:paraId="12F6D186" w14:textId="77777777" w:rsidTr="00A70B77">
        <w:trPr>
          <w:trHeight w:val="288"/>
        </w:trPr>
        <w:tc>
          <w:tcPr>
            <w:tcW w:w="3456" w:type="dxa"/>
            <w:tcBorders>
              <w:top w:val="nil"/>
              <w:left w:val="nil"/>
              <w:bottom w:val="nil"/>
              <w:right w:val="nil"/>
            </w:tcBorders>
            <w:noWrap/>
            <w:vAlign w:val="bottom"/>
            <w:hideMark/>
          </w:tcPr>
          <w:p w14:paraId="234B2C97" w14:textId="77777777" w:rsidR="00A70B77" w:rsidRPr="001B33B0" w:rsidRDefault="00A70B77" w:rsidP="00A70B77">
            <w:pPr>
              <w:spacing w:after="0" w:line="240" w:lineRule="auto"/>
              <w:rPr>
                <w:rFonts w:eastAsia="Times New Roman" w:cs="Arial"/>
                <w:b/>
                <w:bCs/>
                <w:color w:val="8064A2"/>
                <w:sz w:val="20"/>
                <w:szCs w:val="20"/>
              </w:rPr>
            </w:pPr>
            <w:r w:rsidRPr="001B33B0">
              <w:rPr>
                <w:rFonts w:eastAsia="Times New Roman" w:cs="Arial"/>
                <w:b/>
                <w:bCs/>
                <w:color w:val="8064A2"/>
                <w:sz w:val="20"/>
                <w:szCs w:val="20"/>
              </w:rPr>
              <w:t>Net Present Value Calculation</w:t>
            </w:r>
          </w:p>
        </w:tc>
        <w:tc>
          <w:tcPr>
            <w:tcW w:w="1616" w:type="dxa"/>
            <w:tcBorders>
              <w:top w:val="nil"/>
              <w:left w:val="nil"/>
              <w:bottom w:val="nil"/>
              <w:right w:val="nil"/>
            </w:tcBorders>
            <w:noWrap/>
            <w:vAlign w:val="bottom"/>
            <w:hideMark/>
          </w:tcPr>
          <w:p w14:paraId="15FA604B" w14:textId="77777777" w:rsidR="00A70B77" w:rsidRPr="001B33B0" w:rsidRDefault="00A70B77" w:rsidP="00A70B77">
            <w:pPr>
              <w:spacing w:after="0" w:line="240" w:lineRule="auto"/>
              <w:rPr>
                <w:rFonts w:eastAsia="Times New Roman" w:cs="Arial"/>
                <w:b/>
                <w:bCs/>
                <w:color w:val="8064A2"/>
                <w:sz w:val="20"/>
                <w:szCs w:val="20"/>
              </w:rPr>
            </w:pPr>
          </w:p>
        </w:tc>
        <w:tc>
          <w:tcPr>
            <w:tcW w:w="1876" w:type="dxa"/>
            <w:tcBorders>
              <w:top w:val="nil"/>
              <w:left w:val="nil"/>
              <w:bottom w:val="nil"/>
              <w:right w:val="nil"/>
            </w:tcBorders>
            <w:noWrap/>
            <w:vAlign w:val="bottom"/>
            <w:hideMark/>
          </w:tcPr>
          <w:p w14:paraId="414CE301"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3DAD7B53"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96" w:type="dxa"/>
            <w:tcBorders>
              <w:top w:val="nil"/>
              <w:left w:val="nil"/>
              <w:bottom w:val="nil"/>
              <w:right w:val="nil"/>
            </w:tcBorders>
            <w:noWrap/>
            <w:vAlign w:val="bottom"/>
            <w:hideMark/>
          </w:tcPr>
          <w:p w14:paraId="4360F073"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78F548AF"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74F26AC4" w14:textId="77777777" w:rsidR="00A70B77" w:rsidRPr="001B33B0" w:rsidRDefault="00A70B77" w:rsidP="00A70B77">
            <w:pPr>
              <w:spacing w:after="0" w:line="240" w:lineRule="auto"/>
              <w:rPr>
                <w:rFonts w:ascii="Times New Roman" w:eastAsia="Times New Roman" w:hAnsi="Times New Roman" w:cs="Times New Roman"/>
                <w:sz w:val="20"/>
                <w:szCs w:val="20"/>
              </w:rPr>
            </w:pPr>
          </w:p>
        </w:tc>
      </w:tr>
      <w:tr w:rsidR="00A70B77" w:rsidRPr="001B33B0" w14:paraId="3CC7A6B0" w14:textId="77777777" w:rsidTr="00A70B77">
        <w:trPr>
          <w:trHeight w:val="288"/>
        </w:trPr>
        <w:tc>
          <w:tcPr>
            <w:tcW w:w="3456" w:type="dxa"/>
            <w:tcBorders>
              <w:top w:val="nil"/>
              <w:left w:val="nil"/>
              <w:bottom w:val="nil"/>
              <w:right w:val="nil"/>
            </w:tcBorders>
            <w:noWrap/>
            <w:vAlign w:val="bottom"/>
            <w:hideMark/>
          </w:tcPr>
          <w:p w14:paraId="21D0BFF3" w14:textId="77777777" w:rsidR="00A70B77" w:rsidRPr="001B33B0" w:rsidRDefault="00A70B77" w:rsidP="00A70B77">
            <w:pPr>
              <w:spacing w:after="0" w:line="240" w:lineRule="auto"/>
              <w:rPr>
                <w:rFonts w:eastAsia="Times New Roman" w:cs="Arial"/>
                <w:color w:val="000000"/>
                <w:sz w:val="20"/>
                <w:szCs w:val="20"/>
              </w:rPr>
            </w:pPr>
            <w:r w:rsidRPr="001B33B0">
              <w:rPr>
                <w:rFonts w:eastAsia="Times New Roman" w:cs="Arial"/>
                <w:color w:val="000000"/>
                <w:sz w:val="20"/>
                <w:szCs w:val="20"/>
              </w:rPr>
              <w:t>Period (end-of-year convention)</w:t>
            </w:r>
          </w:p>
        </w:tc>
        <w:tc>
          <w:tcPr>
            <w:tcW w:w="1616" w:type="dxa"/>
            <w:tcBorders>
              <w:top w:val="nil"/>
              <w:left w:val="nil"/>
              <w:bottom w:val="nil"/>
              <w:right w:val="nil"/>
            </w:tcBorders>
            <w:noWrap/>
            <w:vAlign w:val="bottom"/>
            <w:hideMark/>
          </w:tcPr>
          <w:p w14:paraId="60607E94" w14:textId="77777777" w:rsidR="00A70B77" w:rsidRPr="001B33B0" w:rsidRDefault="00A70B77" w:rsidP="00A70B77">
            <w:pPr>
              <w:spacing w:after="0" w:line="240" w:lineRule="auto"/>
              <w:rPr>
                <w:rFonts w:eastAsia="Times New Roman" w:cs="Arial"/>
                <w:color w:val="000000"/>
                <w:sz w:val="20"/>
                <w:szCs w:val="20"/>
              </w:rPr>
            </w:pPr>
          </w:p>
        </w:tc>
        <w:tc>
          <w:tcPr>
            <w:tcW w:w="1876" w:type="dxa"/>
            <w:tcBorders>
              <w:top w:val="nil"/>
              <w:left w:val="nil"/>
              <w:bottom w:val="nil"/>
              <w:right w:val="nil"/>
            </w:tcBorders>
            <w:noWrap/>
            <w:vAlign w:val="bottom"/>
            <w:hideMark/>
          </w:tcPr>
          <w:p w14:paraId="70E4E188" w14:textId="77777777" w:rsidR="00A70B77" w:rsidRPr="001B33B0" w:rsidRDefault="00A70B77" w:rsidP="00A70B77">
            <w:pPr>
              <w:spacing w:after="0" w:line="240" w:lineRule="auto"/>
              <w:jc w:val="right"/>
              <w:rPr>
                <w:rFonts w:eastAsia="Times New Roman" w:cs="Arial"/>
                <w:sz w:val="20"/>
                <w:szCs w:val="20"/>
              </w:rPr>
            </w:pPr>
            <w:r w:rsidRPr="001B33B0">
              <w:rPr>
                <w:rFonts w:eastAsia="Times New Roman" w:cs="Arial"/>
                <w:sz w:val="20"/>
                <w:szCs w:val="20"/>
              </w:rPr>
              <w:t>1</w:t>
            </w:r>
          </w:p>
        </w:tc>
        <w:tc>
          <w:tcPr>
            <w:tcW w:w="1050" w:type="dxa"/>
            <w:tcBorders>
              <w:top w:val="nil"/>
              <w:left w:val="nil"/>
              <w:bottom w:val="nil"/>
              <w:right w:val="nil"/>
            </w:tcBorders>
            <w:noWrap/>
            <w:vAlign w:val="bottom"/>
            <w:hideMark/>
          </w:tcPr>
          <w:p w14:paraId="17AD2295" w14:textId="77777777" w:rsidR="00A70B77" w:rsidRPr="001B33B0" w:rsidRDefault="00A70B77" w:rsidP="00A70B77">
            <w:pPr>
              <w:spacing w:after="0" w:line="240" w:lineRule="auto"/>
              <w:jc w:val="right"/>
              <w:rPr>
                <w:rFonts w:eastAsia="Times New Roman" w:cs="Arial"/>
                <w:sz w:val="20"/>
                <w:szCs w:val="20"/>
              </w:rPr>
            </w:pPr>
            <w:r w:rsidRPr="001B33B0">
              <w:rPr>
                <w:rFonts w:eastAsia="Times New Roman" w:cs="Arial"/>
                <w:sz w:val="20"/>
                <w:szCs w:val="20"/>
              </w:rPr>
              <w:t>2</w:t>
            </w:r>
          </w:p>
        </w:tc>
        <w:tc>
          <w:tcPr>
            <w:tcW w:w="1096" w:type="dxa"/>
            <w:tcBorders>
              <w:top w:val="nil"/>
              <w:left w:val="nil"/>
              <w:bottom w:val="nil"/>
              <w:right w:val="nil"/>
            </w:tcBorders>
            <w:noWrap/>
            <w:vAlign w:val="bottom"/>
            <w:hideMark/>
          </w:tcPr>
          <w:p w14:paraId="6814717D" w14:textId="77777777" w:rsidR="00A70B77" w:rsidRPr="001B33B0" w:rsidRDefault="00A70B77" w:rsidP="00A70B77">
            <w:pPr>
              <w:spacing w:after="0" w:line="240" w:lineRule="auto"/>
              <w:jc w:val="right"/>
              <w:rPr>
                <w:rFonts w:eastAsia="Times New Roman" w:cs="Arial"/>
                <w:sz w:val="20"/>
                <w:szCs w:val="20"/>
              </w:rPr>
            </w:pPr>
            <w:r w:rsidRPr="001B33B0">
              <w:rPr>
                <w:rFonts w:eastAsia="Times New Roman" w:cs="Arial"/>
                <w:sz w:val="20"/>
                <w:szCs w:val="20"/>
              </w:rPr>
              <w:t>3</w:t>
            </w:r>
          </w:p>
        </w:tc>
        <w:tc>
          <w:tcPr>
            <w:tcW w:w="1050" w:type="dxa"/>
            <w:tcBorders>
              <w:top w:val="nil"/>
              <w:left w:val="nil"/>
              <w:bottom w:val="nil"/>
              <w:right w:val="nil"/>
            </w:tcBorders>
            <w:noWrap/>
            <w:vAlign w:val="bottom"/>
            <w:hideMark/>
          </w:tcPr>
          <w:p w14:paraId="7352AD8F" w14:textId="77777777" w:rsidR="00A70B77" w:rsidRPr="001B33B0" w:rsidRDefault="00A70B77" w:rsidP="00A70B77">
            <w:pPr>
              <w:spacing w:after="0" w:line="240" w:lineRule="auto"/>
              <w:jc w:val="right"/>
              <w:rPr>
                <w:rFonts w:eastAsia="Times New Roman" w:cs="Arial"/>
                <w:sz w:val="20"/>
                <w:szCs w:val="20"/>
              </w:rPr>
            </w:pPr>
            <w:r w:rsidRPr="001B33B0">
              <w:rPr>
                <w:rFonts w:eastAsia="Times New Roman" w:cs="Arial"/>
                <w:sz w:val="20"/>
                <w:szCs w:val="20"/>
              </w:rPr>
              <w:t>4</w:t>
            </w:r>
          </w:p>
        </w:tc>
        <w:tc>
          <w:tcPr>
            <w:tcW w:w="1050" w:type="dxa"/>
            <w:tcBorders>
              <w:top w:val="nil"/>
              <w:left w:val="nil"/>
              <w:bottom w:val="nil"/>
              <w:right w:val="nil"/>
            </w:tcBorders>
            <w:noWrap/>
            <w:vAlign w:val="bottom"/>
            <w:hideMark/>
          </w:tcPr>
          <w:p w14:paraId="45D94F65" w14:textId="77777777" w:rsidR="00A70B77" w:rsidRPr="001B33B0" w:rsidRDefault="00A70B77" w:rsidP="00A70B77">
            <w:pPr>
              <w:spacing w:after="0" w:line="240" w:lineRule="auto"/>
              <w:jc w:val="right"/>
              <w:rPr>
                <w:rFonts w:eastAsia="Times New Roman" w:cs="Arial"/>
                <w:sz w:val="20"/>
                <w:szCs w:val="20"/>
              </w:rPr>
            </w:pPr>
            <w:r w:rsidRPr="001B33B0">
              <w:rPr>
                <w:rFonts w:eastAsia="Times New Roman" w:cs="Arial"/>
                <w:sz w:val="20"/>
                <w:szCs w:val="20"/>
              </w:rPr>
              <w:t>5</w:t>
            </w:r>
          </w:p>
        </w:tc>
      </w:tr>
      <w:tr w:rsidR="00A70B77" w:rsidRPr="001B33B0" w14:paraId="6730FCCF" w14:textId="77777777" w:rsidTr="00A70B77">
        <w:trPr>
          <w:trHeight w:val="288"/>
        </w:trPr>
        <w:tc>
          <w:tcPr>
            <w:tcW w:w="3456" w:type="dxa"/>
            <w:tcBorders>
              <w:top w:val="nil"/>
              <w:left w:val="nil"/>
              <w:bottom w:val="nil"/>
              <w:right w:val="nil"/>
            </w:tcBorders>
            <w:noWrap/>
            <w:vAlign w:val="bottom"/>
            <w:hideMark/>
          </w:tcPr>
          <w:p w14:paraId="52529556" w14:textId="77777777" w:rsidR="00A70B77" w:rsidRPr="001B33B0" w:rsidRDefault="00A70B77" w:rsidP="00A70B77">
            <w:pPr>
              <w:spacing w:after="0" w:line="240" w:lineRule="auto"/>
              <w:rPr>
                <w:rFonts w:eastAsia="Times New Roman" w:cs="Arial"/>
                <w:color w:val="000000"/>
                <w:sz w:val="20"/>
                <w:szCs w:val="20"/>
              </w:rPr>
            </w:pPr>
            <w:r w:rsidRPr="001B33B0">
              <w:rPr>
                <w:rFonts w:eastAsia="Times New Roman" w:cs="Arial"/>
                <w:color w:val="000000"/>
                <w:sz w:val="20"/>
                <w:szCs w:val="20"/>
              </w:rPr>
              <w:t>Discounted Cash Flow</w:t>
            </w:r>
          </w:p>
        </w:tc>
        <w:tc>
          <w:tcPr>
            <w:tcW w:w="1616" w:type="dxa"/>
            <w:tcBorders>
              <w:top w:val="nil"/>
              <w:left w:val="nil"/>
              <w:bottom w:val="nil"/>
              <w:right w:val="nil"/>
            </w:tcBorders>
            <w:noWrap/>
            <w:vAlign w:val="bottom"/>
            <w:hideMark/>
          </w:tcPr>
          <w:p w14:paraId="4537F78F"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10.08%</w:t>
            </w:r>
          </w:p>
        </w:tc>
        <w:tc>
          <w:tcPr>
            <w:tcW w:w="1876" w:type="dxa"/>
            <w:tcBorders>
              <w:top w:val="single" w:sz="4" w:space="0" w:color="auto"/>
              <w:left w:val="nil"/>
              <w:bottom w:val="single" w:sz="4" w:space="0" w:color="auto"/>
              <w:right w:val="nil"/>
            </w:tcBorders>
            <w:noWrap/>
            <w:vAlign w:val="bottom"/>
            <w:hideMark/>
          </w:tcPr>
          <w:p w14:paraId="0F20F155"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113,625</w:t>
            </w:r>
          </w:p>
        </w:tc>
        <w:tc>
          <w:tcPr>
            <w:tcW w:w="1050" w:type="dxa"/>
            <w:tcBorders>
              <w:top w:val="single" w:sz="4" w:space="0" w:color="auto"/>
              <w:left w:val="nil"/>
              <w:bottom w:val="single" w:sz="4" w:space="0" w:color="auto"/>
              <w:right w:val="nil"/>
            </w:tcBorders>
            <w:noWrap/>
            <w:vAlign w:val="bottom"/>
            <w:hideMark/>
          </w:tcPr>
          <w:p w14:paraId="7DD70F2F"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111,443</w:t>
            </w:r>
          </w:p>
        </w:tc>
        <w:tc>
          <w:tcPr>
            <w:tcW w:w="1096" w:type="dxa"/>
            <w:tcBorders>
              <w:top w:val="single" w:sz="4" w:space="0" w:color="auto"/>
              <w:left w:val="nil"/>
              <w:bottom w:val="single" w:sz="4" w:space="0" w:color="auto"/>
              <w:right w:val="nil"/>
            </w:tcBorders>
            <w:noWrap/>
            <w:vAlign w:val="bottom"/>
            <w:hideMark/>
          </w:tcPr>
          <w:p w14:paraId="3E6E7EF4"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106,994</w:t>
            </w:r>
          </w:p>
        </w:tc>
        <w:tc>
          <w:tcPr>
            <w:tcW w:w="1050" w:type="dxa"/>
            <w:tcBorders>
              <w:top w:val="single" w:sz="4" w:space="0" w:color="auto"/>
              <w:left w:val="nil"/>
              <w:bottom w:val="single" w:sz="4" w:space="0" w:color="auto"/>
              <w:right w:val="nil"/>
            </w:tcBorders>
            <w:noWrap/>
            <w:vAlign w:val="bottom"/>
            <w:hideMark/>
          </w:tcPr>
          <w:p w14:paraId="30091A4D"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102,671</w:t>
            </w:r>
          </w:p>
        </w:tc>
        <w:tc>
          <w:tcPr>
            <w:tcW w:w="1050" w:type="dxa"/>
            <w:tcBorders>
              <w:top w:val="single" w:sz="4" w:space="0" w:color="auto"/>
              <w:left w:val="nil"/>
              <w:bottom w:val="single" w:sz="4" w:space="0" w:color="auto"/>
              <w:right w:val="nil"/>
            </w:tcBorders>
            <w:noWrap/>
            <w:vAlign w:val="bottom"/>
            <w:hideMark/>
          </w:tcPr>
          <w:p w14:paraId="6842D6A2"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98,007</w:t>
            </w:r>
          </w:p>
        </w:tc>
      </w:tr>
      <w:tr w:rsidR="00A70B77" w:rsidRPr="001B33B0" w14:paraId="2C16049F" w14:textId="77777777" w:rsidTr="00A70B77">
        <w:trPr>
          <w:trHeight w:val="288"/>
        </w:trPr>
        <w:tc>
          <w:tcPr>
            <w:tcW w:w="3456" w:type="dxa"/>
            <w:tcBorders>
              <w:top w:val="nil"/>
              <w:left w:val="nil"/>
              <w:bottom w:val="nil"/>
              <w:right w:val="nil"/>
            </w:tcBorders>
            <w:noWrap/>
            <w:vAlign w:val="bottom"/>
            <w:hideMark/>
          </w:tcPr>
          <w:p w14:paraId="5D5F89FB" w14:textId="77777777" w:rsidR="00A70B77" w:rsidRPr="001B33B0" w:rsidRDefault="00A70B77" w:rsidP="00A70B77">
            <w:pPr>
              <w:spacing w:after="0" w:line="240" w:lineRule="auto"/>
              <w:rPr>
                <w:rFonts w:eastAsia="Times New Roman" w:cs="Arial"/>
                <w:b/>
                <w:bCs/>
                <w:color w:val="8064A2"/>
                <w:sz w:val="20"/>
                <w:szCs w:val="20"/>
              </w:rPr>
            </w:pPr>
            <w:r w:rsidRPr="001B33B0">
              <w:rPr>
                <w:rFonts w:eastAsia="Times New Roman" w:cs="Arial"/>
                <w:b/>
                <w:bCs/>
                <w:color w:val="8064A2"/>
                <w:sz w:val="20"/>
                <w:szCs w:val="20"/>
              </w:rPr>
              <w:t>Total Net Present Value</w:t>
            </w:r>
          </w:p>
        </w:tc>
        <w:tc>
          <w:tcPr>
            <w:tcW w:w="1616" w:type="dxa"/>
            <w:tcBorders>
              <w:top w:val="nil"/>
              <w:left w:val="nil"/>
              <w:bottom w:val="nil"/>
              <w:right w:val="nil"/>
            </w:tcBorders>
            <w:noWrap/>
            <w:vAlign w:val="bottom"/>
            <w:hideMark/>
          </w:tcPr>
          <w:p w14:paraId="353D5AE5" w14:textId="77777777" w:rsidR="00A70B77" w:rsidRPr="001B33B0" w:rsidRDefault="00A70B77" w:rsidP="00A70B77">
            <w:pPr>
              <w:spacing w:after="0" w:line="240" w:lineRule="auto"/>
              <w:jc w:val="right"/>
              <w:rPr>
                <w:rFonts w:eastAsia="Times New Roman" w:cs="Arial"/>
                <w:b/>
                <w:bCs/>
                <w:color w:val="000000"/>
                <w:sz w:val="20"/>
                <w:szCs w:val="20"/>
              </w:rPr>
            </w:pPr>
            <w:r w:rsidRPr="001B33B0">
              <w:rPr>
                <w:rFonts w:eastAsia="Times New Roman" w:cs="Arial"/>
                <w:b/>
                <w:bCs/>
                <w:color w:val="000000"/>
                <w:sz w:val="20"/>
                <w:szCs w:val="20"/>
              </w:rPr>
              <w:t>532,739</w:t>
            </w:r>
          </w:p>
        </w:tc>
        <w:tc>
          <w:tcPr>
            <w:tcW w:w="1876" w:type="dxa"/>
            <w:tcBorders>
              <w:top w:val="nil"/>
              <w:left w:val="nil"/>
              <w:bottom w:val="nil"/>
              <w:right w:val="nil"/>
            </w:tcBorders>
            <w:noWrap/>
            <w:vAlign w:val="bottom"/>
            <w:hideMark/>
          </w:tcPr>
          <w:p w14:paraId="0DD4CE93" w14:textId="77777777" w:rsidR="00A70B77" w:rsidRPr="001B33B0" w:rsidRDefault="00A70B77" w:rsidP="00A70B77">
            <w:pPr>
              <w:spacing w:after="0" w:line="240" w:lineRule="auto"/>
              <w:jc w:val="right"/>
              <w:rPr>
                <w:rFonts w:eastAsia="Times New Roman" w:cs="Arial"/>
                <w:b/>
                <w:bCs/>
                <w:color w:val="000000"/>
                <w:sz w:val="20"/>
                <w:szCs w:val="20"/>
              </w:rPr>
            </w:pPr>
          </w:p>
        </w:tc>
        <w:tc>
          <w:tcPr>
            <w:tcW w:w="1050" w:type="dxa"/>
            <w:tcBorders>
              <w:top w:val="nil"/>
              <w:left w:val="nil"/>
              <w:bottom w:val="nil"/>
              <w:right w:val="nil"/>
            </w:tcBorders>
            <w:noWrap/>
            <w:vAlign w:val="bottom"/>
            <w:hideMark/>
          </w:tcPr>
          <w:p w14:paraId="3805868A"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96" w:type="dxa"/>
            <w:tcBorders>
              <w:top w:val="nil"/>
              <w:left w:val="nil"/>
              <w:bottom w:val="nil"/>
              <w:right w:val="nil"/>
            </w:tcBorders>
            <w:noWrap/>
            <w:vAlign w:val="bottom"/>
            <w:hideMark/>
          </w:tcPr>
          <w:p w14:paraId="47072B42"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7913559F"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75C89C03" w14:textId="77777777" w:rsidR="00A70B77" w:rsidRPr="001B33B0" w:rsidRDefault="00A70B77" w:rsidP="00A70B77">
            <w:pPr>
              <w:spacing w:after="0" w:line="240" w:lineRule="auto"/>
              <w:rPr>
                <w:rFonts w:ascii="Times New Roman" w:eastAsia="Times New Roman" w:hAnsi="Times New Roman" w:cs="Times New Roman"/>
                <w:sz w:val="20"/>
                <w:szCs w:val="20"/>
              </w:rPr>
            </w:pPr>
          </w:p>
        </w:tc>
      </w:tr>
      <w:tr w:rsidR="00A70B77" w:rsidRPr="001B33B0" w14:paraId="324ED77D" w14:textId="77777777" w:rsidTr="00A70B77">
        <w:trPr>
          <w:trHeight w:val="288"/>
        </w:trPr>
        <w:tc>
          <w:tcPr>
            <w:tcW w:w="3456" w:type="dxa"/>
            <w:tcBorders>
              <w:top w:val="nil"/>
              <w:left w:val="nil"/>
              <w:bottom w:val="nil"/>
              <w:right w:val="nil"/>
            </w:tcBorders>
            <w:noWrap/>
            <w:vAlign w:val="bottom"/>
            <w:hideMark/>
          </w:tcPr>
          <w:p w14:paraId="63BC0008"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616" w:type="dxa"/>
            <w:tcBorders>
              <w:top w:val="nil"/>
              <w:left w:val="nil"/>
              <w:bottom w:val="nil"/>
              <w:right w:val="nil"/>
            </w:tcBorders>
            <w:noWrap/>
            <w:vAlign w:val="bottom"/>
            <w:hideMark/>
          </w:tcPr>
          <w:p w14:paraId="3E5A1C8E"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876" w:type="dxa"/>
            <w:tcBorders>
              <w:top w:val="nil"/>
              <w:left w:val="nil"/>
              <w:bottom w:val="nil"/>
              <w:right w:val="nil"/>
            </w:tcBorders>
            <w:noWrap/>
            <w:vAlign w:val="bottom"/>
            <w:hideMark/>
          </w:tcPr>
          <w:p w14:paraId="220651C6"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677BD8C4"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96" w:type="dxa"/>
            <w:tcBorders>
              <w:top w:val="nil"/>
              <w:left w:val="nil"/>
              <w:bottom w:val="nil"/>
              <w:right w:val="nil"/>
            </w:tcBorders>
            <w:noWrap/>
            <w:vAlign w:val="bottom"/>
            <w:hideMark/>
          </w:tcPr>
          <w:p w14:paraId="1537CE1E"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18EB127E"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0D312B17" w14:textId="77777777" w:rsidR="00A70B77" w:rsidRPr="001B33B0" w:rsidRDefault="00A70B77" w:rsidP="00A70B77">
            <w:pPr>
              <w:spacing w:after="0" w:line="240" w:lineRule="auto"/>
              <w:rPr>
                <w:rFonts w:ascii="Times New Roman" w:eastAsia="Times New Roman" w:hAnsi="Times New Roman" w:cs="Times New Roman"/>
                <w:sz w:val="20"/>
                <w:szCs w:val="20"/>
              </w:rPr>
            </w:pPr>
          </w:p>
        </w:tc>
      </w:tr>
      <w:tr w:rsidR="00A70B77" w:rsidRPr="001B33B0" w14:paraId="7310CA0A" w14:textId="77777777" w:rsidTr="00A70B77">
        <w:trPr>
          <w:trHeight w:val="288"/>
        </w:trPr>
        <w:tc>
          <w:tcPr>
            <w:tcW w:w="3456" w:type="dxa"/>
            <w:tcBorders>
              <w:top w:val="nil"/>
              <w:left w:val="nil"/>
              <w:bottom w:val="nil"/>
              <w:right w:val="nil"/>
            </w:tcBorders>
            <w:noWrap/>
            <w:vAlign w:val="bottom"/>
            <w:hideMark/>
          </w:tcPr>
          <w:p w14:paraId="15ADB0DA" w14:textId="77777777" w:rsidR="00A70B77" w:rsidRPr="001B33B0" w:rsidRDefault="00A70B77" w:rsidP="00A70B77">
            <w:pPr>
              <w:spacing w:after="0" w:line="240" w:lineRule="auto"/>
              <w:rPr>
                <w:rFonts w:eastAsia="Times New Roman" w:cs="Arial"/>
                <w:b/>
                <w:bCs/>
                <w:color w:val="8064A2"/>
                <w:sz w:val="20"/>
                <w:szCs w:val="20"/>
              </w:rPr>
            </w:pPr>
            <w:r w:rsidRPr="001B33B0">
              <w:rPr>
                <w:rFonts w:eastAsia="Times New Roman" w:cs="Arial"/>
                <w:b/>
                <w:bCs/>
                <w:color w:val="8064A2"/>
                <w:sz w:val="20"/>
                <w:szCs w:val="20"/>
              </w:rPr>
              <w:t>Terminal Value</w:t>
            </w:r>
          </w:p>
        </w:tc>
        <w:tc>
          <w:tcPr>
            <w:tcW w:w="1616" w:type="dxa"/>
            <w:tcBorders>
              <w:top w:val="nil"/>
              <w:left w:val="nil"/>
              <w:bottom w:val="nil"/>
              <w:right w:val="nil"/>
            </w:tcBorders>
            <w:noWrap/>
            <w:vAlign w:val="bottom"/>
            <w:hideMark/>
          </w:tcPr>
          <w:p w14:paraId="436657E3" w14:textId="77777777" w:rsidR="00A70B77" w:rsidRPr="001B33B0" w:rsidRDefault="00A70B77" w:rsidP="00A70B77">
            <w:pPr>
              <w:spacing w:after="0" w:line="240" w:lineRule="auto"/>
              <w:rPr>
                <w:rFonts w:eastAsia="Times New Roman" w:cs="Arial"/>
                <w:b/>
                <w:bCs/>
                <w:color w:val="8064A2"/>
                <w:sz w:val="20"/>
                <w:szCs w:val="20"/>
              </w:rPr>
            </w:pPr>
          </w:p>
        </w:tc>
        <w:tc>
          <w:tcPr>
            <w:tcW w:w="1876" w:type="dxa"/>
            <w:tcBorders>
              <w:top w:val="nil"/>
              <w:left w:val="nil"/>
              <w:bottom w:val="nil"/>
              <w:right w:val="nil"/>
            </w:tcBorders>
            <w:noWrap/>
            <w:vAlign w:val="bottom"/>
            <w:hideMark/>
          </w:tcPr>
          <w:p w14:paraId="48467E40"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53662E79"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96" w:type="dxa"/>
            <w:tcBorders>
              <w:top w:val="nil"/>
              <w:left w:val="nil"/>
              <w:bottom w:val="nil"/>
              <w:right w:val="nil"/>
            </w:tcBorders>
            <w:noWrap/>
            <w:vAlign w:val="bottom"/>
            <w:hideMark/>
          </w:tcPr>
          <w:p w14:paraId="1211ADE7"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4B493781"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52E33FBB" w14:textId="77777777" w:rsidR="00A70B77" w:rsidRPr="001B33B0" w:rsidRDefault="00A70B77" w:rsidP="00A70B77">
            <w:pPr>
              <w:spacing w:after="0" w:line="240" w:lineRule="auto"/>
              <w:rPr>
                <w:rFonts w:ascii="Times New Roman" w:eastAsia="Times New Roman" w:hAnsi="Times New Roman" w:cs="Times New Roman"/>
                <w:sz w:val="20"/>
                <w:szCs w:val="20"/>
              </w:rPr>
            </w:pPr>
          </w:p>
        </w:tc>
      </w:tr>
      <w:tr w:rsidR="00A70B77" w:rsidRPr="001B33B0" w14:paraId="570A257E" w14:textId="77777777" w:rsidTr="00A70B77">
        <w:trPr>
          <w:trHeight w:val="288"/>
        </w:trPr>
        <w:tc>
          <w:tcPr>
            <w:tcW w:w="3456" w:type="dxa"/>
            <w:tcBorders>
              <w:top w:val="nil"/>
              <w:left w:val="nil"/>
              <w:bottom w:val="nil"/>
              <w:right w:val="nil"/>
            </w:tcBorders>
            <w:noWrap/>
            <w:vAlign w:val="bottom"/>
            <w:hideMark/>
          </w:tcPr>
          <w:p w14:paraId="6623CB0E" w14:textId="77777777" w:rsidR="00A70B77" w:rsidRPr="001B33B0" w:rsidRDefault="00A70B77" w:rsidP="00A70B77">
            <w:pPr>
              <w:spacing w:after="0" w:line="240" w:lineRule="auto"/>
              <w:rPr>
                <w:rFonts w:eastAsia="Times New Roman" w:cs="Arial"/>
                <w:b/>
                <w:bCs/>
                <w:color w:val="8064A2"/>
                <w:sz w:val="20"/>
                <w:szCs w:val="20"/>
              </w:rPr>
            </w:pPr>
            <w:r w:rsidRPr="001B33B0">
              <w:rPr>
                <w:rFonts w:eastAsia="Times New Roman" w:cs="Arial"/>
                <w:b/>
                <w:bCs/>
                <w:color w:val="8064A2"/>
                <w:sz w:val="20"/>
                <w:szCs w:val="20"/>
              </w:rPr>
              <w:t>EBITDA Method</w:t>
            </w:r>
          </w:p>
        </w:tc>
        <w:tc>
          <w:tcPr>
            <w:tcW w:w="1616" w:type="dxa"/>
            <w:tcBorders>
              <w:top w:val="nil"/>
              <w:left w:val="nil"/>
              <w:bottom w:val="nil"/>
              <w:right w:val="nil"/>
            </w:tcBorders>
            <w:noWrap/>
            <w:vAlign w:val="bottom"/>
            <w:hideMark/>
          </w:tcPr>
          <w:p w14:paraId="0631C7CF" w14:textId="77777777" w:rsidR="00A70B77" w:rsidRPr="001B33B0" w:rsidRDefault="00A70B77" w:rsidP="00A70B77">
            <w:pPr>
              <w:spacing w:after="0" w:line="240" w:lineRule="auto"/>
              <w:rPr>
                <w:rFonts w:eastAsia="Times New Roman" w:cs="Arial"/>
                <w:b/>
                <w:bCs/>
                <w:color w:val="8064A2"/>
                <w:sz w:val="20"/>
                <w:szCs w:val="20"/>
              </w:rPr>
            </w:pPr>
          </w:p>
        </w:tc>
        <w:tc>
          <w:tcPr>
            <w:tcW w:w="1876" w:type="dxa"/>
            <w:tcBorders>
              <w:top w:val="nil"/>
              <w:left w:val="nil"/>
              <w:bottom w:val="nil"/>
              <w:right w:val="nil"/>
            </w:tcBorders>
            <w:noWrap/>
            <w:vAlign w:val="bottom"/>
            <w:hideMark/>
          </w:tcPr>
          <w:p w14:paraId="3ECAFD02"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0C590108"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96" w:type="dxa"/>
            <w:tcBorders>
              <w:top w:val="nil"/>
              <w:left w:val="nil"/>
              <w:bottom w:val="nil"/>
              <w:right w:val="nil"/>
            </w:tcBorders>
            <w:noWrap/>
            <w:vAlign w:val="bottom"/>
            <w:hideMark/>
          </w:tcPr>
          <w:p w14:paraId="4D895870"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291293EF"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48C20A18" w14:textId="77777777" w:rsidR="00A70B77" w:rsidRPr="001B33B0" w:rsidRDefault="00A70B77" w:rsidP="00A70B77">
            <w:pPr>
              <w:spacing w:after="0" w:line="240" w:lineRule="auto"/>
              <w:rPr>
                <w:rFonts w:ascii="Times New Roman" w:eastAsia="Times New Roman" w:hAnsi="Times New Roman" w:cs="Times New Roman"/>
                <w:sz w:val="20"/>
                <w:szCs w:val="20"/>
              </w:rPr>
            </w:pPr>
          </w:p>
        </w:tc>
      </w:tr>
      <w:tr w:rsidR="00A70B77" w:rsidRPr="001B33B0" w14:paraId="28C088DF" w14:textId="77777777" w:rsidTr="00A70B77">
        <w:trPr>
          <w:trHeight w:val="300"/>
        </w:trPr>
        <w:tc>
          <w:tcPr>
            <w:tcW w:w="3456" w:type="dxa"/>
            <w:tcBorders>
              <w:top w:val="nil"/>
              <w:left w:val="nil"/>
              <w:bottom w:val="nil"/>
              <w:right w:val="nil"/>
            </w:tcBorders>
            <w:noWrap/>
            <w:vAlign w:val="bottom"/>
            <w:hideMark/>
          </w:tcPr>
          <w:p w14:paraId="3B4D2665" w14:textId="77777777" w:rsidR="00A70B77" w:rsidRPr="001B33B0" w:rsidRDefault="00A70B77" w:rsidP="00A70B77">
            <w:pPr>
              <w:spacing w:after="0" w:line="240" w:lineRule="auto"/>
              <w:rPr>
                <w:rFonts w:eastAsia="Times New Roman" w:cs="Arial"/>
                <w:color w:val="000000"/>
                <w:sz w:val="20"/>
                <w:szCs w:val="20"/>
              </w:rPr>
            </w:pPr>
            <w:r w:rsidRPr="001B33B0">
              <w:rPr>
                <w:rFonts w:eastAsia="Times New Roman" w:cs="Arial"/>
                <w:color w:val="000000"/>
                <w:sz w:val="20"/>
                <w:szCs w:val="20"/>
              </w:rPr>
              <w:t>Exit Year EBITDA (FY2030E)</w:t>
            </w:r>
          </w:p>
        </w:tc>
        <w:tc>
          <w:tcPr>
            <w:tcW w:w="1616" w:type="dxa"/>
            <w:tcBorders>
              <w:top w:val="nil"/>
              <w:left w:val="nil"/>
              <w:bottom w:val="nil"/>
              <w:right w:val="nil"/>
            </w:tcBorders>
            <w:noWrap/>
            <w:vAlign w:val="bottom"/>
            <w:hideMark/>
          </w:tcPr>
          <w:p w14:paraId="19C6BF72" w14:textId="77777777" w:rsidR="00A70B77" w:rsidRPr="001B33B0" w:rsidRDefault="00A70B77" w:rsidP="00A70B77">
            <w:pPr>
              <w:spacing w:after="0" w:line="240" w:lineRule="auto"/>
              <w:rPr>
                <w:rFonts w:eastAsia="Times New Roman" w:cs="Arial"/>
                <w:color w:val="000000"/>
                <w:sz w:val="20"/>
                <w:szCs w:val="20"/>
              </w:rPr>
            </w:pPr>
          </w:p>
        </w:tc>
        <w:tc>
          <w:tcPr>
            <w:tcW w:w="1876" w:type="dxa"/>
            <w:tcBorders>
              <w:top w:val="nil"/>
              <w:left w:val="nil"/>
              <w:bottom w:val="single" w:sz="12" w:space="0" w:color="8064A2"/>
              <w:right w:val="nil"/>
            </w:tcBorders>
            <w:noWrap/>
            <w:vAlign w:val="bottom"/>
            <w:hideMark/>
          </w:tcPr>
          <w:p w14:paraId="78AB2837" w14:textId="77777777" w:rsidR="00A70B77" w:rsidRPr="001B33B0" w:rsidRDefault="00A70B77" w:rsidP="00A70B77">
            <w:pPr>
              <w:spacing w:after="0" w:line="240" w:lineRule="auto"/>
              <w:jc w:val="right"/>
              <w:rPr>
                <w:rFonts w:eastAsia="Times New Roman" w:cs="Arial"/>
                <w:color w:val="008000"/>
                <w:sz w:val="20"/>
                <w:szCs w:val="20"/>
              </w:rPr>
            </w:pPr>
            <w:r w:rsidRPr="001B33B0">
              <w:rPr>
                <w:rFonts w:eastAsia="Times New Roman" w:cs="Arial"/>
                <w:color w:val="008000"/>
                <w:sz w:val="20"/>
                <w:szCs w:val="20"/>
              </w:rPr>
              <w:t>204,242</w:t>
            </w:r>
          </w:p>
        </w:tc>
        <w:tc>
          <w:tcPr>
            <w:tcW w:w="1050" w:type="dxa"/>
            <w:tcBorders>
              <w:top w:val="nil"/>
              <w:left w:val="nil"/>
              <w:bottom w:val="nil"/>
              <w:right w:val="nil"/>
            </w:tcBorders>
            <w:noWrap/>
            <w:vAlign w:val="bottom"/>
            <w:hideMark/>
          </w:tcPr>
          <w:p w14:paraId="5932C1D6" w14:textId="77777777" w:rsidR="00A70B77" w:rsidRPr="001B33B0" w:rsidRDefault="00A70B77" w:rsidP="00A70B77">
            <w:pPr>
              <w:spacing w:after="0" w:line="240" w:lineRule="auto"/>
              <w:jc w:val="right"/>
              <w:rPr>
                <w:rFonts w:eastAsia="Times New Roman" w:cs="Arial"/>
                <w:color w:val="008000"/>
                <w:sz w:val="20"/>
                <w:szCs w:val="20"/>
              </w:rPr>
            </w:pPr>
          </w:p>
        </w:tc>
        <w:tc>
          <w:tcPr>
            <w:tcW w:w="1096" w:type="dxa"/>
            <w:tcBorders>
              <w:top w:val="nil"/>
              <w:left w:val="nil"/>
              <w:bottom w:val="nil"/>
              <w:right w:val="nil"/>
            </w:tcBorders>
            <w:noWrap/>
            <w:vAlign w:val="bottom"/>
            <w:hideMark/>
          </w:tcPr>
          <w:p w14:paraId="0B431253"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2722BCFD"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7AB910A5" w14:textId="77777777" w:rsidR="00A70B77" w:rsidRPr="001B33B0" w:rsidRDefault="00A70B77" w:rsidP="00A70B77">
            <w:pPr>
              <w:spacing w:after="0" w:line="240" w:lineRule="auto"/>
              <w:rPr>
                <w:rFonts w:ascii="Times New Roman" w:eastAsia="Times New Roman" w:hAnsi="Times New Roman" w:cs="Times New Roman"/>
                <w:sz w:val="20"/>
                <w:szCs w:val="20"/>
              </w:rPr>
            </w:pPr>
          </w:p>
        </w:tc>
      </w:tr>
      <w:tr w:rsidR="00A70B77" w:rsidRPr="001B33B0" w14:paraId="14EF5229" w14:textId="77777777" w:rsidTr="00A70B77">
        <w:trPr>
          <w:trHeight w:val="312"/>
        </w:trPr>
        <w:tc>
          <w:tcPr>
            <w:tcW w:w="3456" w:type="dxa"/>
            <w:tcBorders>
              <w:top w:val="nil"/>
              <w:left w:val="nil"/>
              <w:bottom w:val="nil"/>
              <w:right w:val="nil"/>
            </w:tcBorders>
            <w:noWrap/>
            <w:vAlign w:val="bottom"/>
            <w:hideMark/>
          </w:tcPr>
          <w:p w14:paraId="7D4FA175" w14:textId="77777777" w:rsidR="00A70B77" w:rsidRPr="001B33B0" w:rsidRDefault="00A70B77" w:rsidP="00A70B77">
            <w:pPr>
              <w:spacing w:after="0" w:line="240" w:lineRule="auto"/>
              <w:rPr>
                <w:rFonts w:eastAsia="Times New Roman" w:cs="Arial"/>
                <w:color w:val="000000"/>
                <w:sz w:val="20"/>
                <w:szCs w:val="20"/>
              </w:rPr>
            </w:pPr>
            <w:r w:rsidRPr="001B33B0">
              <w:rPr>
                <w:rFonts w:eastAsia="Times New Roman" w:cs="Arial"/>
                <w:color w:val="000000"/>
                <w:sz w:val="20"/>
                <w:szCs w:val="20"/>
              </w:rPr>
              <w:t>Multiple (current EV / TTM EBITDA)</w:t>
            </w:r>
          </w:p>
        </w:tc>
        <w:tc>
          <w:tcPr>
            <w:tcW w:w="1616" w:type="dxa"/>
            <w:tcBorders>
              <w:top w:val="nil"/>
              <w:left w:val="nil"/>
              <w:bottom w:val="nil"/>
              <w:right w:val="single" w:sz="12" w:space="0" w:color="8064A2"/>
            </w:tcBorders>
            <w:noWrap/>
            <w:vAlign w:val="bottom"/>
            <w:hideMark/>
          </w:tcPr>
          <w:p w14:paraId="72F20C86" w14:textId="77777777" w:rsidR="00A70B77" w:rsidRPr="001B33B0" w:rsidRDefault="00A70B77" w:rsidP="00A70B77">
            <w:pPr>
              <w:spacing w:after="0" w:line="240" w:lineRule="auto"/>
              <w:rPr>
                <w:rFonts w:ascii="Calibri" w:eastAsia="Times New Roman" w:hAnsi="Calibri" w:cs="Calibri"/>
                <w:color w:val="000000"/>
                <w:sz w:val="22"/>
              </w:rPr>
            </w:pPr>
            <w:r w:rsidRPr="001B33B0">
              <w:rPr>
                <w:rFonts w:ascii="Calibri" w:eastAsia="Times New Roman" w:hAnsi="Calibri" w:cs="Calibri"/>
                <w:color w:val="000000"/>
                <w:sz w:val="22"/>
              </w:rPr>
              <w:t> </w:t>
            </w:r>
          </w:p>
        </w:tc>
        <w:tc>
          <w:tcPr>
            <w:tcW w:w="1876" w:type="dxa"/>
            <w:tcBorders>
              <w:top w:val="nil"/>
              <w:left w:val="nil"/>
              <w:bottom w:val="single" w:sz="12" w:space="0" w:color="8064A2"/>
              <w:right w:val="single" w:sz="12" w:space="0" w:color="8064A2"/>
            </w:tcBorders>
            <w:noWrap/>
            <w:vAlign w:val="bottom"/>
            <w:hideMark/>
          </w:tcPr>
          <w:p w14:paraId="4AD756CE"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29.4</w:t>
            </w:r>
          </w:p>
        </w:tc>
        <w:tc>
          <w:tcPr>
            <w:tcW w:w="1050" w:type="dxa"/>
            <w:tcBorders>
              <w:top w:val="nil"/>
              <w:left w:val="nil"/>
              <w:bottom w:val="nil"/>
              <w:right w:val="nil"/>
            </w:tcBorders>
            <w:noWrap/>
            <w:vAlign w:val="bottom"/>
            <w:hideMark/>
          </w:tcPr>
          <w:p w14:paraId="422A0CDB" w14:textId="77777777" w:rsidR="00A70B77" w:rsidRPr="001B33B0" w:rsidRDefault="00A70B77" w:rsidP="00A70B77">
            <w:pPr>
              <w:spacing w:after="0" w:line="240" w:lineRule="auto"/>
              <w:jc w:val="right"/>
              <w:rPr>
                <w:rFonts w:eastAsia="Times New Roman" w:cs="Arial"/>
                <w:color w:val="000000"/>
                <w:sz w:val="20"/>
                <w:szCs w:val="20"/>
              </w:rPr>
            </w:pPr>
          </w:p>
        </w:tc>
        <w:tc>
          <w:tcPr>
            <w:tcW w:w="1096" w:type="dxa"/>
            <w:tcBorders>
              <w:top w:val="nil"/>
              <w:left w:val="nil"/>
              <w:bottom w:val="nil"/>
              <w:right w:val="nil"/>
            </w:tcBorders>
            <w:noWrap/>
            <w:vAlign w:val="bottom"/>
            <w:hideMark/>
          </w:tcPr>
          <w:p w14:paraId="623BF63D"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31626358"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2689F100" w14:textId="77777777" w:rsidR="00A70B77" w:rsidRPr="001B33B0" w:rsidRDefault="00A70B77" w:rsidP="00A70B77">
            <w:pPr>
              <w:spacing w:after="0" w:line="240" w:lineRule="auto"/>
              <w:rPr>
                <w:rFonts w:ascii="Times New Roman" w:eastAsia="Times New Roman" w:hAnsi="Times New Roman" w:cs="Times New Roman"/>
                <w:sz w:val="20"/>
                <w:szCs w:val="20"/>
              </w:rPr>
            </w:pPr>
          </w:p>
        </w:tc>
      </w:tr>
      <w:tr w:rsidR="00A70B77" w:rsidRPr="001B33B0" w14:paraId="1CF9F950" w14:textId="77777777" w:rsidTr="00A70B77">
        <w:trPr>
          <w:trHeight w:val="300"/>
        </w:trPr>
        <w:tc>
          <w:tcPr>
            <w:tcW w:w="3456" w:type="dxa"/>
            <w:tcBorders>
              <w:top w:val="nil"/>
              <w:left w:val="nil"/>
              <w:bottom w:val="nil"/>
              <w:right w:val="nil"/>
            </w:tcBorders>
            <w:noWrap/>
            <w:vAlign w:val="bottom"/>
            <w:hideMark/>
          </w:tcPr>
          <w:p w14:paraId="3C2FBB79" w14:textId="77777777" w:rsidR="00A70B77" w:rsidRPr="001B33B0" w:rsidRDefault="00A70B77" w:rsidP="00A70B77">
            <w:pPr>
              <w:spacing w:after="0" w:line="240" w:lineRule="auto"/>
              <w:rPr>
                <w:rFonts w:eastAsia="Times New Roman" w:cs="Arial"/>
                <w:color w:val="000000"/>
                <w:sz w:val="20"/>
                <w:szCs w:val="20"/>
              </w:rPr>
            </w:pPr>
            <w:r w:rsidRPr="001B33B0">
              <w:rPr>
                <w:rFonts w:eastAsia="Times New Roman" w:cs="Arial"/>
                <w:color w:val="000000"/>
                <w:sz w:val="20"/>
                <w:szCs w:val="20"/>
              </w:rPr>
              <w:t>Terminal Value</w:t>
            </w:r>
          </w:p>
        </w:tc>
        <w:tc>
          <w:tcPr>
            <w:tcW w:w="1616" w:type="dxa"/>
            <w:tcBorders>
              <w:top w:val="nil"/>
              <w:left w:val="nil"/>
              <w:bottom w:val="nil"/>
              <w:right w:val="nil"/>
            </w:tcBorders>
            <w:noWrap/>
            <w:vAlign w:val="bottom"/>
            <w:hideMark/>
          </w:tcPr>
          <w:p w14:paraId="0E37DCDD" w14:textId="77777777" w:rsidR="00A70B77" w:rsidRPr="001B33B0" w:rsidRDefault="00A70B77" w:rsidP="00A70B77">
            <w:pPr>
              <w:spacing w:after="0" w:line="240" w:lineRule="auto"/>
              <w:rPr>
                <w:rFonts w:eastAsia="Times New Roman" w:cs="Arial"/>
                <w:color w:val="000000"/>
                <w:sz w:val="20"/>
                <w:szCs w:val="20"/>
              </w:rPr>
            </w:pPr>
          </w:p>
        </w:tc>
        <w:tc>
          <w:tcPr>
            <w:tcW w:w="1876" w:type="dxa"/>
            <w:tcBorders>
              <w:top w:val="nil"/>
              <w:left w:val="nil"/>
              <w:bottom w:val="nil"/>
              <w:right w:val="nil"/>
            </w:tcBorders>
            <w:noWrap/>
            <w:vAlign w:val="bottom"/>
            <w:hideMark/>
          </w:tcPr>
          <w:p w14:paraId="1020BDD7"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6,000,244</w:t>
            </w:r>
          </w:p>
        </w:tc>
        <w:tc>
          <w:tcPr>
            <w:tcW w:w="1050" w:type="dxa"/>
            <w:tcBorders>
              <w:top w:val="nil"/>
              <w:left w:val="nil"/>
              <w:bottom w:val="nil"/>
              <w:right w:val="nil"/>
            </w:tcBorders>
            <w:noWrap/>
            <w:vAlign w:val="bottom"/>
            <w:hideMark/>
          </w:tcPr>
          <w:p w14:paraId="531F9362" w14:textId="77777777" w:rsidR="00A70B77" w:rsidRPr="001B33B0" w:rsidRDefault="00A70B77" w:rsidP="00A70B77">
            <w:pPr>
              <w:spacing w:after="0" w:line="240" w:lineRule="auto"/>
              <w:jc w:val="right"/>
              <w:rPr>
                <w:rFonts w:eastAsia="Times New Roman" w:cs="Arial"/>
                <w:color w:val="000000"/>
                <w:sz w:val="20"/>
                <w:szCs w:val="20"/>
              </w:rPr>
            </w:pPr>
          </w:p>
        </w:tc>
        <w:tc>
          <w:tcPr>
            <w:tcW w:w="1096" w:type="dxa"/>
            <w:tcBorders>
              <w:top w:val="nil"/>
              <w:left w:val="nil"/>
              <w:bottom w:val="nil"/>
              <w:right w:val="nil"/>
            </w:tcBorders>
            <w:noWrap/>
            <w:vAlign w:val="bottom"/>
            <w:hideMark/>
          </w:tcPr>
          <w:p w14:paraId="7D65EBDE"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4A16989C"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5FE98757" w14:textId="77777777" w:rsidR="00A70B77" w:rsidRPr="001B33B0" w:rsidRDefault="00A70B77" w:rsidP="00A70B77">
            <w:pPr>
              <w:spacing w:after="0" w:line="240" w:lineRule="auto"/>
              <w:rPr>
                <w:rFonts w:ascii="Times New Roman" w:eastAsia="Times New Roman" w:hAnsi="Times New Roman" w:cs="Times New Roman"/>
                <w:sz w:val="20"/>
                <w:szCs w:val="20"/>
              </w:rPr>
            </w:pPr>
          </w:p>
        </w:tc>
      </w:tr>
      <w:tr w:rsidR="00A70B77" w:rsidRPr="001B33B0" w14:paraId="08AA12D0" w14:textId="77777777" w:rsidTr="00A70B77">
        <w:trPr>
          <w:trHeight w:val="288"/>
        </w:trPr>
        <w:tc>
          <w:tcPr>
            <w:tcW w:w="3456" w:type="dxa"/>
            <w:tcBorders>
              <w:top w:val="nil"/>
              <w:left w:val="nil"/>
              <w:bottom w:val="nil"/>
              <w:right w:val="nil"/>
            </w:tcBorders>
            <w:noWrap/>
            <w:vAlign w:val="bottom"/>
            <w:hideMark/>
          </w:tcPr>
          <w:p w14:paraId="3CDE2A56" w14:textId="77777777" w:rsidR="00A70B77" w:rsidRPr="001B33B0" w:rsidRDefault="00A70B77" w:rsidP="00A70B77">
            <w:pPr>
              <w:spacing w:after="0" w:line="240" w:lineRule="auto"/>
              <w:rPr>
                <w:rFonts w:eastAsia="Times New Roman" w:cs="Arial"/>
                <w:color w:val="000000"/>
                <w:sz w:val="20"/>
                <w:szCs w:val="20"/>
              </w:rPr>
            </w:pPr>
            <w:r w:rsidRPr="001B33B0">
              <w:rPr>
                <w:rFonts w:eastAsia="Times New Roman" w:cs="Arial"/>
                <w:color w:val="000000"/>
                <w:sz w:val="20"/>
                <w:szCs w:val="20"/>
              </w:rPr>
              <w:t>Net Present Value</w:t>
            </w:r>
          </w:p>
        </w:tc>
        <w:tc>
          <w:tcPr>
            <w:tcW w:w="1616" w:type="dxa"/>
            <w:tcBorders>
              <w:top w:val="nil"/>
              <w:left w:val="nil"/>
              <w:bottom w:val="nil"/>
              <w:right w:val="nil"/>
            </w:tcBorders>
            <w:noWrap/>
            <w:vAlign w:val="bottom"/>
            <w:hideMark/>
          </w:tcPr>
          <w:p w14:paraId="320AE887" w14:textId="77777777" w:rsidR="00A70B77" w:rsidRPr="001B33B0" w:rsidRDefault="00A70B77" w:rsidP="00A70B77">
            <w:pPr>
              <w:spacing w:after="0" w:line="240" w:lineRule="auto"/>
              <w:rPr>
                <w:rFonts w:eastAsia="Times New Roman" w:cs="Arial"/>
                <w:color w:val="000000"/>
                <w:sz w:val="20"/>
                <w:szCs w:val="20"/>
              </w:rPr>
            </w:pPr>
          </w:p>
        </w:tc>
        <w:tc>
          <w:tcPr>
            <w:tcW w:w="1876" w:type="dxa"/>
            <w:tcBorders>
              <w:top w:val="nil"/>
              <w:left w:val="nil"/>
              <w:bottom w:val="nil"/>
              <w:right w:val="nil"/>
            </w:tcBorders>
            <w:noWrap/>
            <w:vAlign w:val="bottom"/>
            <w:hideMark/>
          </w:tcPr>
          <w:p w14:paraId="6787613A"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3,712,145</w:t>
            </w:r>
          </w:p>
        </w:tc>
        <w:tc>
          <w:tcPr>
            <w:tcW w:w="1050" w:type="dxa"/>
            <w:tcBorders>
              <w:top w:val="nil"/>
              <w:left w:val="nil"/>
              <w:bottom w:val="nil"/>
              <w:right w:val="nil"/>
            </w:tcBorders>
            <w:noWrap/>
            <w:vAlign w:val="bottom"/>
            <w:hideMark/>
          </w:tcPr>
          <w:p w14:paraId="4FA9D446" w14:textId="77777777" w:rsidR="00A70B77" w:rsidRPr="001B33B0" w:rsidRDefault="00A70B77" w:rsidP="00A70B77">
            <w:pPr>
              <w:spacing w:after="0" w:line="240" w:lineRule="auto"/>
              <w:jc w:val="right"/>
              <w:rPr>
                <w:rFonts w:eastAsia="Times New Roman" w:cs="Arial"/>
                <w:color w:val="000000"/>
                <w:sz w:val="20"/>
                <w:szCs w:val="20"/>
              </w:rPr>
            </w:pPr>
          </w:p>
        </w:tc>
        <w:tc>
          <w:tcPr>
            <w:tcW w:w="1096" w:type="dxa"/>
            <w:tcBorders>
              <w:top w:val="nil"/>
              <w:left w:val="nil"/>
              <w:bottom w:val="nil"/>
              <w:right w:val="nil"/>
            </w:tcBorders>
            <w:noWrap/>
            <w:vAlign w:val="bottom"/>
            <w:hideMark/>
          </w:tcPr>
          <w:p w14:paraId="414151FA"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01F2C7C7"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59E6DC9B" w14:textId="77777777" w:rsidR="00A70B77" w:rsidRPr="001B33B0" w:rsidRDefault="00A70B77" w:rsidP="00A70B77">
            <w:pPr>
              <w:spacing w:after="0" w:line="240" w:lineRule="auto"/>
              <w:rPr>
                <w:rFonts w:ascii="Times New Roman" w:eastAsia="Times New Roman" w:hAnsi="Times New Roman" w:cs="Times New Roman"/>
                <w:sz w:val="20"/>
                <w:szCs w:val="20"/>
              </w:rPr>
            </w:pPr>
          </w:p>
        </w:tc>
      </w:tr>
      <w:tr w:rsidR="00A70B77" w:rsidRPr="001B33B0" w14:paraId="76D91247" w14:textId="77777777" w:rsidTr="00A70B77">
        <w:trPr>
          <w:trHeight w:val="288"/>
        </w:trPr>
        <w:tc>
          <w:tcPr>
            <w:tcW w:w="3456" w:type="dxa"/>
            <w:tcBorders>
              <w:top w:val="nil"/>
              <w:left w:val="nil"/>
              <w:bottom w:val="nil"/>
              <w:right w:val="nil"/>
            </w:tcBorders>
            <w:noWrap/>
            <w:vAlign w:val="bottom"/>
            <w:hideMark/>
          </w:tcPr>
          <w:p w14:paraId="7FA05A46" w14:textId="77777777" w:rsidR="00A70B77" w:rsidRPr="001B33B0" w:rsidRDefault="00A70B77" w:rsidP="00A70B77">
            <w:pPr>
              <w:spacing w:after="0" w:line="240" w:lineRule="auto"/>
              <w:rPr>
                <w:rFonts w:eastAsia="Times New Roman" w:cs="Arial"/>
                <w:b/>
                <w:bCs/>
                <w:color w:val="8064A2"/>
                <w:sz w:val="20"/>
                <w:szCs w:val="20"/>
              </w:rPr>
            </w:pPr>
            <w:r w:rsidRPr="001B33B0">
              <w:rPr>
                <w:rFonts w:eastAsia="Times New Roman" w:cs="Arial"/>
                <w:b/>
                <w:bCs/>
                <w:color w:val="8064A2"/>
                <w:sz w:val="20"/>
                <w:szCs w:val="20"/>
              </w:rPr>
              <w:t>Perpetuity Method</w:t>
            </w:r>
          </w:p>
        </w:tc>
        <w:tc>
          <w:tcPr>
            <w:tcW w:w="1616" w:type="dxa"/>
            <w:tcBorders>
              <w:top w:val="nil"/>
              <w:left w:val="nil"/>
              <w:bottom w:val="nil"/>
              <w:right w:val="nil"/>
            </w:tcBorders>
            <w:noWrap/>
            <w:vAlign w:val="bottom"/>
            <w:hideMark/>
          </w:tcPr>
          <w:p w14:paraId="45B42FC8" w14:textId="77777777" w:rsidR="00A70B77" w:rsidRPr="001B33B0" w:rsidRDefault="00A70B77" w:rsidP="00A70B77">
            <w:pPr>
              <w:spacing w:after="0" w:line="240" w:lineRule="auto"/>
              <w:rPr>
                <w:rFonts w:eastAsia="Times New Roman" w:cs="Arial"/>
                <w:b/>
                <w:bCs/>
                <w:color w:val="8064A2"/>
                <w:sz w:val="20"/>
                <w:szCs w:val="20"/>
              </w:rPr>
            </w:pPr>
          </w:p>
        </w:tc>
        <w:tc>
          <w:tcPr>
            <w:tcW w:w="1876" w:type="dxa"/>
            <w:tcBorders>
              <w:top w:val="nil"/>
              <w:left w:val="nil"/>
              <w:bottom w:val="nil"/>
              <w:right w:val="nil"/>
            </w:tcBorders>
            <w:noWrap/>
            <w:vAlign w:val="bottom"/>
            <w:hideMark/>
          </w:tcPr>
          <w:p w14:paraId="2C99EB57"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27E640B9"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96" w:type="dxa"/>
            <w:tcBorders>
              <w:top w:val="nil"/>
              <w:left w:val="nil"/>
              <w:bottom w:val="nil"/>
              <w:right w:val="nil"/>
            </w:tcBorders>
            <w:noWrap/>
            <w:vAlign w:val="bottom"/>
            <w:hideMark/>
          </w:tcPr>
          <w:p w14:paraId="474DC40F"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0D675EE6"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51B0632A" w14:textId="77777777" w:rsidR="00A70B77" w:rsidRPr="001B33B0" w:rsidRDefault="00A70B77" w:rsidP="00A70B77">
            <w:pPr>
              <w:spacing w:after="0" w:line="240" w:lineRule="auto"/>
              <w:rPr>
                <w:rFonts w:ascii="Times New Roman" w:eastAsia="Times New Roman" w:hAnsi="Times New Roman" w:cs="Times New Roman"/>
                <w:sz w:val="20"/>
                <w:szCs w:val="20"/>
              </w:rPr>
            </w:pPr>
          </w:p>
        </w:tc>
      </w:tr>
      <w:tr w:rsidR="00A70B77" w:rsidRPr="001B33B0" w14:paraId="19DAF9B5" w14:textId="77777777" w:rsidTr="00A70B77">
        <w:trPr>
          <w:trHeight w:val="300"/>
        </w:trPr>
        <w:tc>
          <w:tcPr>
            <w:tcW w:w="3456" w:type="dxa"/>
            <w:tcBorders>
              <w:top w:val="nil"/>
              <w:left w:val="nil"/>
              <w:bottom w:val="nil"/>
              <w:right w:val="nil"/>
            </w:tcBorders>
            <w:noWrap/>
            <w:vAlign w:val="bottom"/>
            <w:hideMark/>
          </w:tcPr>
          <w:p w14:paraId="009F2DB3" w14:textId="77777777" w:rsidR="00A70B77" w:rsidRPr="001B33B0" w:rsidRDefault="00A70B77" w:rsidP="00A70B77">
            <w:pPr>
              <w:spacing w:after="0" w:line="240" w:lineRule="auto"/>
              <w:rPr>
                <w:rFonts w:eastAsia="Times New Roman" w:cs="Arial"/>
                <w:color w:val="000000"/>
                <w:sz w:val="20"/>
                <w:szCs w:val="20"/>
              </w:rPr>
            </w:pPr>
            <w:r w:rsidRPr="001B33B0">
              <w:rPr>
                <w:rFonts w:eastAsia="Times New Roman" w:cs="Arial"/>
                <w:color w:val="000000"/>
                <w:sz w:val="20"/>
                <w:szCs w:val="20"/>
              </w:rPr>
              <w:t>Unlevered Free Cash Flow (FY2030E)</w:t>
            </w:r>
          </w:p>
        </w:tc>
        <w:tc>
          <w:tcPr>
            <w:tcW w:w="1616" w:type="dxa"/>
            <w:tcBorders>
              <w:top w:val="nil"/>
              <w:left w:val="nil"/>
              <w:bottom w:val="nil"/>
              <w:right w:val="nil"/>
            </w:tcBorders>
            <w:noWrap/>
            <w:vAlign w:val="bottom"/>
            <w:hideMark/>
          </w:tcPr>
          <w:p w14:paraId="75A8E1E6" w14:textId="77777777" w:rsidR="00A70B77" w:rsidRPr="001B33B0" w:rsidRDefault="00A70B77" w:rsidP="00A70B77">
            <w:pPr>
              <w:spacing w:after="0" w:line="240" w:lineRule="auto"/>
              <w:rPr>
                <w:rFonts w:eastAsia="Times New Roman" w:cs="Arial"/>
                <w:color w:val="000000"/>
                <w:sz w:val="20"/>
                <w:szCs w:val="20"/>
              </w:rPr>
            </w:pPr>
          </w:p>
        </w:tc>
        <w:tc>
          <w:tcPr>
            <w:tcW w:w="1876" w:type="dxa"/>
            <w:tcBorders>
              <w:top w:val="nil"/>
              <w:left w:val="nil"/>
              <w:bottom w:val="single" w:sz="12" w:space="0" w:color="8064A2"/>
              <w:right w:val="nil"/>
            </w:tcBorders>
            <w:noWrap/>
            <w:vAlign w:val="bottom"/>
            <w:hideMark/>
          </w:tcPr>
          <w:p w14:paraId="6AEF2565"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158,417</w:t>
            </w:r>
          </w:p>
        </w:tc>
        <w:tc>
          <w:tcPr>
            <w:tcW w:w="1050" w:type="dxa"/>
            <w:tcBorders>
              <w:top w:val="nil"/>
              <w:left w:val="nil"/>
              <w:bottom w:val="nil"/>
              <w:right w:val="nil"/>
            </w:tcBorders>
            <w:noWrap/>
            <w:vAlign w:val="bottom"/>
            <w:hideMark/>
          </w:tcPr>
          <w:p w14:paraId="737A8E32" w14:textId="77777777" w:rsidR="00A70B77" w:rsidRPr="001B33B0" w:rsidRDefault="00A70B77" w:rsidP="00A70B77">
            <w:pPr>
              <w:spacing w:after="0" w:line="240" w:lineRule="auto"/>
              <w:jc w:val="right"/>
              <w:rPr>
                <w:rFonts w:eastAsia="Times New Roman" w:cs="Arial"/>
                <w:color w:val="000000"/>
                <w:sz w:val="20"/>
                <w:szCs w:val="20"/>
              </w:rPr>
            </w:pPr>
          </w:p>
        </w:tc>
        <w:tc>
          <w:tcPr>
            <w:tcW w:w="1096" w:type="dxa"/>
            <w:tcBorders>
              <w:top w:val="nil"/>
              <w:left w:val="nil"/>
              <w:bottom w:val="nil"/>
              <w:right w:val="nil"/>
            </w:tcBorders>
            <w:noWrap/>
            <w:vAlign w:val="bottom"/>
            <w:hideMark/>
          </w:tcPr>
          <w:p w14:paraId="3FAE13C4"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14392CEF"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707D816C" w14:textId="77777777" w:rsidR="00A70B77" w:rsidRPr="001B33B0" w:rsidRDefault="00A70B77" w:rsidP="00A70B77">
            <w:pPr>
              <w:spacing w:after="0" w:line="240" w:lineRule="auto"/>
              <w:rPr>
                <w:rFonts w:ascii="Times New Roman" w:eastAsia="Times New Roman" w:hAnsi="Times New Roman" w:cs="Times New Roman"/>
                <w:sz w:val="20"/>
                <w:szCs w:val="20"/>
              </w:rPr>
            </w:pPr>
          </w:p>
        </w:tc>
      </w:tr>
      <w:tr w:rsidR="00A70B77" w:rsidRPr="001B33B0" w14:paraId="60030D88" w14:textId="77777777" w:rsidTr="00A70B77">
        <w:trPr>
          <w:trHeight w:val="312"/>
        </w:trPr>
        <w:tc>
          <w:tcPr>
            <w:tcW w:w="3456" w:type="dxa"/>
            <w:tcBorders>
              <w:top w:val="nil"/>
              <w:left w:val="nil"/>
              <w:bottom w:val="nil"/>
              <w:right w:val="nil"/>
            </w:tcBorders>
            <w:noWrap/>
            <w:vAlign w:val="bottom"/>
            <w:hideMark/>
          </w:tcPr>
          <w:p w14:paraId="00AA56C5" w14:textId="77777777" w:rsidR="00A70B77" w:rsidRPr="001B33B0" w:rsidRDefault="00A70B77" w:rsidP="00A70B77">
            <w:pPr>
              <w:spacing w:after="0" w:line="240" w:lineRule="auto"/>
              <w:rPr>
                <w:rFonts w:eastAsia="Times New Roman" w:cs="Arial"/>
                <w:color w:val="000000"/>
                <w:sz w:val="20"/>
                <w:szCs w:val="20"/>
              </w:rPr>
            </w:pPr>
            <w:r w:rsidRPr="001B33B0">
              <w:rPr>
                <w:rFonts w:eastAsia="Times New Roman" w:cs="Arial"/>
                <w:color w:val="000000"/>
                <w:sz w:val="20"/>
                <w:szCs w:val="20"/>
              </w:rPr>
              <w:t>Growth Rate</w:t>
            </w:r>
          </w:p>
        </w:tc>
        <w:tc>
          <w:tcPr>
            <w:tcW w:w="1616" w:type="dxa"/>
            <w:tcBorders>
              <w:top w:val="nil"/>
              <w:left w:val="nil"/>
              <w:bottom w:val="nil"/>
              <w:right w:val="single" w:sz="12" w:space="0" w:color="8064A2"/>
            </w:tcBorders>
            <w:noWrap/>
            <w:vAlign w:val="bottom"/>
            <w:hideMark/>
          </w:tcPr>
          <w:p w14:paraId="21CF7805" w14:textId="77777777" w:rsidR="00A70B77" w:rsidRPr="001B33B0" w:rsidRDefault="00A70B77" w:rsidP="00A70B77">
            <w:pPr>
              <w:spacing w:after="0" w:line="240" w:lineRule="auto"/>
              <w:rPr>
                <w:rFonts w:ascii="Calibri" w:eastAsia="Times New Roman" w:hAnsi="Calibri" w:cs="Calibri"/>
                <w:color w:val="000000"/>
                <w:sz w:val="22"/>
              </w:rPr>
            </w:pPr>
            <w:r w:rsidRPr="001B33B0">
              <w:rPr>
                <w:rFonts w:ascii="Calibri" w:eastAsia="Times New Roman" w:hAnsi="Calibri" w:cs="Calibri"/>
                <w:color w:val="000000"/>
                <w:sz w:val="22"/>
              </w:rPr>
              <w:t> </w:t>
            </w:r>
          </w:p>
        </w:tc>
        <w:tc>
          <w:tcPr>
            <w:tcW w:w="1876" w:type="dxa"/>
            <w:tcBorders>
              <w:top w:val="nil"/>
              <w:left w:val="nil"/>
              <w:bottom w:val="single" w:sz="12" w:space="0" w:color="8064A2"/>
              <w:right w:val="single" w:sz="12" w:space="0" w:color="8064A2"/>
            </w:tcBorders>
            <w:noWrap/>
            <w:vAlign w:val="bottom"/>
            <w:hideMark/>
          </w:tcPr>
          <w:p w14:paraId="2F3C10FD"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3.0%</w:t>
            </w:r>
          </w:p>
        </w:tc>
        <w:tc>
          <w:tcPr>
            <w:tcW w:w="1050" w:type="dxa"/>
            <w:tcBorders>
              <w:top w:val="nil"/>
              <w:left w:val="nil"/>
              <w:bottom w:val="nil"/>
              <w:right w:val="nil"/>
            </w:tcBorders>
            <w:noWrap/>
            <w:vAlign w:val="bottom"/>
            <w:hideMark/>
          </w:tcPr>
          <w:p w14:paraId="2E648F98" w14:textId="77777777" w:rsidR="00A70B77" w:rsidRPr="001B33B0" w:rsidRDefault="00A70B77" w:rsidP="00A70B77">
            <w:pPr>
              <w:spacing w:after="0" w:line="240" w:lineRule="auto"/>
              <w:jc w:val="right"/>
              <w:rPr>
                <w:rFonts w:eastAsia="Times New Roman" w:cs="Arial"/>
                <w:color w:val="000000"/>
                <w:sz w:val="20"/>
                <w:szCs w:val="20"/>
              </w:rPr>
            </w:pPr>
          </w:p>
        </w:tc>
        <w:tc>
          <w:tcPr>
            <w:tcW w:w="1096" w:type="dxa"/>
            <w:tcBorders>
              <w:top w:val="nil"/>
              <w:left w:val="nil"/>
              <w:bottom w:val="nil"/>
              <w:right w:val="nil"/>
            </w:tcBorders>
            <w:noWrap/>
            <w:vAlign w:val="bottom"/>
            <w:hideMark/>
          </w:tcPr>
          <w:p w14:paraId="62E57599"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17DD59B2"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21C6BB10" w14:textId="77777777" w:rsidR="00A70B77" w:rsidRPr="001B33B0" w:rsidRDefault="00A70B77" w:rsidP="00A70B77">
            <w:pPr>
              <w:spacing w:after="0" w:line="240" w:lineRule="auto"/>
              <w:rPr>
                <w:rFonts w:ascii="Times New Roman" w:eastAsia="Times New Roman" w:hAnsi="Times New Roman" w:cs="Times New Roman"/>
                <w:sz w:val="20"/>
                <w:szCs w:val="20"/>
              </w:rPr>
            </w:pPr>
          </w:p>
        </w:tc>
      </w:tr>
      <w:tr w:rsidR="00A70B77" w:rsidRPr="001B33B0" w14:paraId="287883CB" w14:textId="77777777" w:rsidTr="00A70B77">
        <w:trPr>
          <w:trHeight w:val="300"/>
        </w:trPr>
        <w:tc>
          <w:tcPr>
            <w:tcW w:w="3456" w:type="dxa"/>
            <w:tcBorders>
              <w:top w:val="nil"/>
              <w:left w:val="nil"/>
              <w:bottom w:val="nil"/>
              <w:right w:val="nil"/>
            </w:tcBorders>
            <w:noWrap/>
            <w:vAlign w:val="bottom"/>
            <w:hideMark/>
          </w:tcPr>
          <w:p w14:paraId="702B0780" w14:textId="77777777" w:rsidR="00A70B77" w:rsidRPr="001B33B0" w:rsidRDefault="00A70B77" w:rsidP="00A70B77">
            <w:pPr>
              <w:spacing w:after="0" w:line="240" w:lineRule="auto"/>
              <w:rPr>
                <w:rFonts w:eastAsia="Times New Roman" w:cs="Arial"/>
                <w:color w:val="000000"/>
                <w:sz w:val="20"/>
                <w:szCs w:val="20"/>
              </w:rPr>
            </w:pPr>
            <w:r w:rsidRPr="001B33B0">
              <w:rPr>
                <w:rFonts w:eastAsia="Times New Roman" w:cs="Arial"/>
                <w:color w:val="000000"/>
                <w:sz w:val="20"/>
                <w:szCs w:val="20"/>
              </w:rPr>
              <w:t>Terminal Value</w:t>
            </w:r>
          </w:p>
        </w:tc>
        <w:tc>
          <w:tcPr>
            <w:tcW w:w="1616" w:type="dxa"/>
            <w:tcBorders>
              <w:top w:val="nil"/>
              <w:left w:val="nil"/>
              <w:bottom w:val="nil"/>
              <w:right w:val="nil"/>
            </w:tcBorders>
            <w:noWrap/>
            <w:vAlign w:val="bottom"/>
            <w:hideMark/>
          </w:tcPr>
          <w:p w14:paraId="3DCBA553" w14:textId="77777777" w:rsidR="00A70B77" w:rsidRPr="001B33B0" w:rsidRDefault="00A70B77" w:rsidP="00A70B77">
            <w:pPr>
              <w:spacing w:after="0" w:line="240" w:lineRule="auto"/>
              <w:rPr>
                <w:rFonts w:eastAsia="Times New Roman" w:cs="Arial"/>
                <w:color w:val="000000"/>
                <w:sz w:val="20"/>
                <w:szCs w:val="20"/>
              </w:rPr>
            </w:pPr>
          </w:p>
        </w:tc>
        <w:tc>
          <w:tcPr>
            <w:tcW w:w="1876" w:type="dxa"/>
            <w:tcBorders>
              <w:top w:val="nil"/>
              <w:left w:val="nil"/>
              <w:bottom w:val="nil"/>
              <w:right w:val="nil"/>
            </w:tcBorders>
            <w:noWrap/>
            <w:vAlign w:val="bottom"/>
            <w:hideMark/>
          </w:tcPr>
          <w:p w14:paraId="48922350"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2,304,617</w:t>
            </w:r>
          </w:p>
        </w:tc>
        <w:tc>
          <w:tcPr>
            <w:tcW w:w="1050" w:type="dxa"/>
            <w:tcBorders>
              <w:top w:val="nil"/>
              <w:left w:val="nil"/>
              <w:bottom w:val="nil"/>
              <w:right w:val="nil"/>
            </w:tcBorders>
            <w:noWrap/>
            <w:vAlign w:val="bottom"/>
            <w:hideMark/>
          </w:tcPr>
          <w:p w14:paraId="29619CD0" w14:textId="77777777" w:rsidR="00A70B77" w:rsidRPr="001B33B0" w:rsidRDefault="00A70B77" w:rsidP="00A70B77">
            <w:pPr>
              <w:spacing w:after="0" w:line="240" w:lineRule="auto"/>
              <w:jc w:val="right"/>
              <w:rPr>
                <w:rFonts w:eastAsia="Times New Roman" w:cs="Arial"/>
                <w:color w:val="000000"/>
                <w:sz w:val="20"/>
                <w:szCs w:val="20"/>
              </w:rPr>
            </w:pPr>
          </w:p>
        </w:tc>
        <w:tc>
          <w:tcPr>
            <w:tcW w:w="1096" w:type="dxa"/>
            <w:tcBorders>
              <w:top w:val="nil"/>
              <w:left w:val="nil"/>
              <w:bottom w:val="nil"/>
              <w:right w:val="nil"/>
            </w:tcBorders>
            <w:noWrap/>
            <w:vAlign w:val="bottom"/>
            <w:hideMark/>
          </w:tcPr>
          <w:p w14:paraId="20C9AEDB"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7445D27C"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35A8D177" w14:textId="77777777" w:rsidR="00A70B77" w:rsidRPr="001B33B0" w:rsidRDefault="00A70B77" w:rsidP="00A70B77">
            <w:pPr>
              <w:spacing w:after="0" w:line="240" w:lineRule="auto"/>
              <w:rPr>
                <w:rFonts w:ascii="Times New Roman" w:eastAsia="Times New Roman" w:hAnsi="Times New Roman" w:cs="Times New Roman"/>
                <w:sz w:val="20"/>
                <w:szCs w:val="20"/>
              </w:rPr>
            </w:pPr>
          </w:p>
        </w:tc>
      </w:tr>
      <w:tr w:rsidR="00A70B77" w:rsidRPr="001B33B0" w14:paraId="4046251E" w14:textId="77777777" w:rsidTr="00A70B77">
        <w:trPr>
          <w:trHeight w:val="288"/>
        </w:trPr>
        <w:tc>
          <w:tcPr>
            <w:tcW w:w="3456" w:type="dxa"/>
            <w:tcBorders>
              <w:top w:val="nil"/>
              <w:left w:val="nil"/>
              <w:bottom w:val="nil"/>
              <w:right w:val="nil"/>
            </w:tcBorders>
            <w:noWrap/>
            <w:vAlign w:val="bottom"/>
            <w:hideMark/>
          </w:tcPr>
          <w:p w14:paraId="3264DA1D" w14:textId="77777777" w:rsidR="00A70B77" w:rsidRPr="001B33B0" w:rsidRDefault="00A70B77" w:rsidP="00A70B77">
            <w:pPr>
              <w:spacing w:after="0" w:line="240" w:lineRule="auto"/>
              <w:rPr>
                <w:rFonts w:eastAsia="Times New Roman" w:cs="Arial"/>
                <w:color w:val="000000"/>
                <w:sz w:val="20"/>
                <w:szCs w:val="20"/>
              </w:rPr>
            </w:pPr>
            <w:r w:rsidRPr="001B33B0">
              <w:rPr>
                <w:rFonts w:eastAsia="Times New Roman" w:cs="Arial"/>
                <w:color w:val="000000"/>
                <w:sz w:val="20"/>
                <w:szCs w:val="20"/>
              </w:rPr>
              <w:t>Net Present Value</w:t>
            </w:r>
          </w:p>
        </w:tc>
        <w:tc>
          <w:tcPr>
            <w:tcW w:w="1616" w:type="dxa"/>
            <w:tcBorders>
              <w:top w:val="nil"/>
              <w:left w:val="nil"/>
              <w:bottom w:val="nil"/>
              <w:right w:val="nil"/>
            </w:tcBorders>
            <w:noWrap/>
            <w:vAlign w:val="bottom"/>
            <w:hideMark/>
          </w:tcPr>
          <w:p w14:paraId="62105C6E" w14:textId="77777777" w:rsidR="00A70B77" w:rsidRPr="001B33B0" w:rsidRDefault="00A70B77" w:rsidP="00A70B77">
            <w:pPr>
              <w:spacing w:after="0" w:line="240" w:lineRule="auto"/>
              <w:rPr>
                <w:rFonts w:eastAsia="Times New Roman" w:cs="Arial"/>
                <w:color w:val="000000"/>
                <w:sz w:val="20"/>
                <w:szCs w:val="20"/>
              </w:rPr>
            </w:pPr>
          </w:p>
        </w:tc>
        <w:tc>
          <w:tcPr>
            <w:tcW w:w="1876" w:type="dxa"/>
            <w:tcBorders>
              <w:top w:val="nil"/>
              <w:left w:val="nil"/>
              <w:bottom w:val="nil"/>
              <w:right w:val="nil"/>
            </w:tcBorders>
            <w:noWrap/>
            <w:vAlign w:val="bottom"/>
            <w:hideMark/>
          </w:tcPr>
          <w:p w14:paraId="28B6D642"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1,425,788</w:t>
            </w:r>
          </w:p>
        </w:tc>
        <w:tc>
          <w:tcPr>
            <w:tcW w:w="1050" w:type="dxa"/>
            <w:tcBorders>
              <w:top w:val="nil"/>
              <w:left w:val="nil"/>
              <w:bottom w:val="nil"/>
              <w:right w:val="nil"/>
            </w:tcBorders>
            <w:noWrap/>
            <w:vAlign w:val="bottom"/>
            <w:hideMark/>
          </w:tcPr>
          <w:p w14:paraId="094663D8" w14:textId="77777777" w:rsidR="00A70B77" w:rsidRPr="001B33B0" w:rsidRDefault="00A70B77" w:rsidP="00A70B77">
            <w:pPr>
              <w:spacing w:after="0" w:line="240" w:lineRule="auto"/>
              <w:jc w:val="right"/>
              <w:rPr>
                <w:rFonts w:eastAsia="Times New Roman" w:cs="Arial"/>
                <w:color w:val="000000"/>
                <w:sz w:val="20"/>
                <w:szCs w:val="20"/>
              </w:rPr>
            </w:pPr>
          </w:p>
        </w:tc>
        <w:tc>
          <w:tcPr>
            <w:tcW w:w="1096" w:type="dxa"/>
            <w:tcBorders>
              <w:top w:val="nil"/>
              <w:left w:val="nil"/>
              <w:bottom w:val="nil"/>
              <w:right w:val="nil"/>
            </w:tcBorders>
            <w:noWrap/>
            <w:vAlign w:val="bottom"/>
            <w:hideMark/>
          </w:tcPr>
          <w:p w14:paraId="6C70FBFB"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457FB3F6"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4F27ADDF" w14:textId="77777777" w:rsidR="00A70B77" w:rsidRPr="001B33B0" w:rsidRDefault="00A70B77" w:rsidP="00A70B77">
            <w:pPr>
              <w:spacing w:after="0" w:line="240" w:lineRule="auto"/>
              <w:rPr>
                <w:rFonts w:ascii="Times New Roman" w:eastAsia="Times New Roman" w:hAnsi="Times New Roman" w:cs="Times New Roman"/>
                <w:sz w:val="20"/>
                <w:szCs w:val="20"/>
              </w:rPr>
            </w:pPr>
          </w:p>
        </w:tc>
      </w:tr>
      <w:tr w:rsidR="00A70B77" w:rsidRPr="001B33B0" w14:paraId="7399D6AC" w14:textId="77777777" w:rsidTr="00A70B77">
        <w:trPr>
          <w:trHeight w:val="288"/>
        </w:trPr>
        <w:tc>
          <w:tcPr>
            <w:tcW w:w="3456" w:type="dxa"/>
            <w:tcBorders>
              <w:top w:val="nil"/>
              <w:left w:val="nil"/>
              <w:bottom w:val="nil"/>
              <w:right w:val="nil"/>
            </w:tcBorders>
            <w:noWrap/>
            <w:vAlign w:val="bottom"/>
            <w:hideMark/>
          </w:tcPr>
          <w:p w14:paraId="5E0AD952"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616" w:type="dxa"/>
            <w:tcBorders>
              <w:top w:val="nil"/>
              <w:left w:val="nil"/>
              <w:bottom w:val="nil"/>
              <w:right w:val="nil"/>
            </w:tcBorders>
            <w:noWrap/>
            <w:vAlign w:val="bottom"/>
            <w:hideMark/>
          </w:tcPr>
          <w:p w14:paraId="61400E6E"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876" w:type="dxa"/>
            <w:tcBorders>
              <w:top w:val="nil"/>
              <w:left w:val="nil"/>
              <w:bottom w:val="nil"/>
              <w:right w:val="nil"/>
            </w:tcBorders>
            <w:noWrap/>
            <w:vAlign w:val="bottom"/>
            <w:hideMark/>
          </w:tcPr>
          <w:p w14:paraId="71768486"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6AC6FE77"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96" w:type="dxa"/>
            <w:tcBorders>
              <w:top w:val="nil"/>
              <w:left w:val="nil"/>
              <w:bottom w:val="nil"/>
              <w:right w:val="nil"/>
            </w:tcBorders>
            <w:noWrap/>
            <w:vAlign w:val="bottom"/>
            <w:hideMark/>
          </w:tcPr>
          <w:p w14:paraId="6F1D09BF"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480BE197"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0ADA4BC7" w14:textId="77777777" w:rsidR="00A70B77" w:rsidRPr="001B33B0" w:rsidRDefault="00A70B77" w:rsidP="00A70B77">
            <w:pPr>
              <w:spacing w:after="0" w:line="240" w:lineRule="auto"/>
              <w:rPr>
                <w:rFonts w:ascii="Times New Roman" w:eastAsia="Times New Roman" w:hAnsi="Times New Roman" w:cs="Times New Roman"/>
                <w:sz w:val="20"/>
                <w:szCs w:val="20"/>
              </w:rPr>
            </w:pPr>
          </w:p>
        </w:tc>
      </w:tr>
      <w:tr w:rsidR="00A70B77" w:rsidRPr="001B33B0" w14:paraId="13BEB2F4" w14:textId="77777777" w:rsidTr="00A70B77">
        <w:trPr>
          <w:trHeight w:val="540"/>
        </w:trPr>
        <w:tc>
          <w:tcPr>
            <w:tcW w:w="3456" w:type="dxa"/>
            <w:tcBorders>
              <w:top w:val="nil"/>
              <w:left w:val="nil"/>
              <w:bottom w:val="nil"/>
              <w:right w:val="nil"/>
            </w:tcBorders>
            <w:shd w:val="clear" w:color="F2F2F2" w:fill="8064A2"/>
            <w:vAlign w:val="bottom"/>
            <w:hideMark/>
          </w:tcPr>
          <w:p w14:paraId="6FCD8C54" w14:textId="77777777" w:rsidR="00A70B77" w:rsidRPr="001B33B0" w:rsidRDefault="00A70B77" w:rsidP="00A70B77">
            <w:pPr>
              <w:spacing w:after="0" w:line="240" w:lineRule="auto"/>
              <w:rPr>
                <w:rFonts w:eastAsia="Times New Roman" w:cs="Arial"/>
                <w:b/>
                <w:bCs/>
                <w:color w:val="FFFFFF"/>
                <w:sz w:val="20"/>
                <w:szCs w:val="20"/>
              </w:rPr>
            </w:pPr>
            <w:r w:rsidRPr="001B33B0">
              <w:rPr>
                <w:rFonts w:eastAsia="Times New Roman" w:cs="Arial"/>
                <w:b/>
                <w:bCs/>
                <w:color w:val="FFFFFF"/>
                <w:sz w:val="20"/>
                <w:szCs w:val="20"/>
              </w:rPr>
              <w:t>Discounted Cash Flow Total Valuation</w:t>
            </w:r>
          </w:p>
        </w:tc>
        <w:tc>
          <w:tcPr>
            <w:tcW w:w="1616" w:type="dxa"/>
            <w:tcBorders>
              <w:top w:val="nil"/>
              <w:left w:val="nil"/>
              <w:bottom w:val="nil"/>
              <w:right w:val="nil"/>
            </w:tcBorders>
            <w:shd w:val="clear" w:color="F2F2F2" w:fill="8064A2"/>
            <w:noWrap/>
            <w:vAlign w:val="bottom"/>
            <w:hideMark/>
          </w:tcPr>
          <w:p w14:paraId="3B8D587E" w14:textId="77777777" w:rsidR="00A70B77" w:rsidRPr="001B33B0" w:rsidRDefault="00A70B77" w:rsidP="00A70B77">
            <w:pPr>
              <w:spacing w:after="0" w:line="240" w:lineRule="auto"/>
              <w:jc w:val="right"/>
              <w:rPr>
                <w:rFonts w:eastAsia="Times New Roman" w:cs="Arial"/>
                <w:b/>
                <w:bCs/>
                <w:color w:val="FFFFFF"/>
                <w:sz w:val="20"/>
                <w:szCs w:val="20"/>
              </w:rPr>
            </w:pPr>
            <w:r w:rsidRPr="001B33B0">
              <w:rPr>
                <w:rFonts w:eastAsia="Times New Roman" w:cs="Arial"/>
                <w:b/>
                <w:bCs/>
                <w:color w:val="FFFFFF"/>
                <w:sz w:val="20"/>
                <w:szCs w:val="20"/>
              </w:rPr>
              <w:t>EBITDA Method</w:t>
            </w:r>
          </w:p>
        </w:tc>
        <w:tc>
          <w:tcPr>
            <w:tcW w:w="1876" w:type="dxa"/>
            <w:tcBorders>
              <w:top w:val="nil"/>
              <w:left w:val="nil"/>
              <w:bottom w:val="nil"/>
              <w:right w:val="nil"/>
            </w:tcBorders>
            <w:shd w:val="clear" w:color="F2F2F2" w:fill="8064A2"/>
            <w:noWrap/>
            <w:vAlign w:val="bottom"/>
            <w:hideMark/>
          </w:tcPr>
          <w:p w14:paraId="3888BBDB" w14:textId="77777777" w:rsidR="00A70B77" w:rsidRPr="001B33B0" w:rsidRDefault="00A70B77" w:rsidP="00A70B77">
            <w:pPr>
              <w:spacing w:after="0" w:line="240" w:lineRule="auto"/>
              <w:jc w:val="right"/>
              <w:rPr>
                <w:rFonts w:eastAsia="Times New Roman" w:cs="Arial"/>
                <w:b/>
                <w:bCs/>
                <w:color w:val="FFFFFF"/>
                <w:sz w:val="20"/>
                <w:szCs w:val="20"/>
              </w:rPr>
            </w:pPr>
            <w:r w:rsidRPr="001B33B0">
              <w:rPr>
                <w:rFonts w:eastAsia="Times New Roman" w:cs="Arial"/>
                <w:b/>
                <w:bCs/>
                <w:color w:val="FFFFFF"/>
                <w:sz w:val="20"/>
                <w:szCs w:val="20"/>
              </w:rPr>
              <w:t>Perpetuity Method</w:t>
            </w:r>
          </w:p>
        </w:tc>
        <w:tc>
          <w:tcPr>
            <w:tcW w:w="1050" w:type="dxa"/>
            <w:tcBorders>
              <w:top w:val="nil"/>
              <w:left w:val="nil"/>
              <w:bottom w:val="nil"/>
              <w:right w:val="nil"/>
            </w:tcBorders>
            <w:noWrap/>
            <w:vAlign w:val="bottom"/>
            <w:hideMark/>
          </w:tcPr>
          <w:p w14:paraId="709B917A" w14:textId="77777777" w:rsidR="00A70B77" w:rsidRPr="001B33B0" w:rsidRDefault="00A70B77" w:rsidP="00A70B77">
            <w:pPr>
              <w:spacing w:after="0" w:line="240" w:lineRule="auto"/>
              <w:jc w:val="right"/>
              <w:rPr>
                <w:rFonts w:eastAsia="Times New Roman" w:cs="Arial"/>
                <w:b/>
                <w:bCs/>
                <w:color w:val="FFFFFF"/>
                <w:sz w:val="20"/>
                <w:szCs w:val="20"/>
              </w:rPr>
            </w:pPr>
          </w:p>
        </w:tc>
        <w:tc>
          <w:tcPr>
            <w:tcW w:w="1096" w:type="dxa"/>
            <w:tcBorders>
              <w:top w:val="nil"/>
              <w:left w:val="nil"/>
              <w:bottom w:val="nil"/>
              <w:right w:val="nil"/>
            </w:tcBorders>
            <w:noWrap/>
            <w:vAlign w:val="bottom"/>
            <w:hideMark/>
          </w:tcPr>
          <w:p w14:paraId="1B28FC1E"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0E5CDC0D"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1B728756" w14:textId="77777777" w:rsidR="00A70B77" w:rsidRPr="001B33B0" w:rsidRDefault="00A70B77" w:rsidP="00A70B77">
            <w:pPr>
              <w:spacing w:after="0" w:line="240" w:lineRule="auto"/>
              <w:rPr>
                <w:rFonts w:ascii="Times New Roman" w:eastAsia="Times New Roman" w:hAnsi="Times New Roman" w:cs="Times New Roman"/>
                <w:sz w:val="20"/>
                <w:szCs w:val="20"/>
              </w:rPr>
            </w:pPr>
          </w:p>
        </w:tc>
      </w:tr>
      <w:tr w:rsidR="00A70B77" w:rsidRPr="001B33B0" w14:paraId="15D02EA6" w14:textId="77777777" w:rsidTr="00A70B77">
        <w:trPr>
          <w:trHeight w:val="288"/>
        </w:trPr>
        <w:tc>
          <w:tcPr>
            <w:tcW w:w="3456" w:type="dxa"/>
            <w:tcBorders>
              <w:top w:val="nil"/>
              <w:left w:val="nil"/>
              <w:bottom w:val="nil"/>
              <w:right w:val="nil"/>
            </w:tcBorders>
            <w:noWrap/>
            <w:vAlign w:val="bottom"/>
            <w:hideMark/>
          </w:tcPr>
          <w:p w14:paraId="15E403C6" w14:textId="77777777" w:rsidR="00A70B77" w:rsidRPr="001B33B0" w:rsidRDefault="00A70B77" w:rsidP="00A70B77">
            <w:pPr>
              <w:spacing w:after="0" w:line="240" w:lineRule="auto"/>
              <w:rPr>
                <w:rFonts w:eastAsia="Times New Roman" w:cs="Arial"/>
                <w:color w:val="000000"/>
                <w:sz w:val="20"/>
                <w:szCs w:val="20"/>
              </w:rPr>
            </w:pPr>
            <w:r w:rsidRPr="001B33B0">
              <w:rPr>
                <w:rFonts w:eastAsia="Times New Roman" w:cs="Arial"/>
                <w:color w:val="000000"/>
                <w:sz w:val="20"/>
                <w:szCs w:val="20"/>
              </w:rPr>
              <w:t>Total of Present Value of Cash Flows</w:t>
            </w:r>
          </w:p>
        </w:tc>
        <w:tc>
          <w:tcPr>
            <w:tcW w:w="1616" w:type="dxa"/>
            <w:tcBorders>
              <w:top w:val="nil"/>
              <w:left w:val="nil"/>
              <w:bottom w:val="nil"/>
              <w:right w:val="nil"/>
            </w:tcBorders>
            <w:noWrap/>
            <w:vAlign w:val="bottom"/>
            <w:hideMark/>
          </w:tcPr>
          <w:p w14:paraId="67718131"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532,739</w:t>
            </w:r>
          </w:p>
        </w:tc>
        <w:tc>
          <w:tcPr>
            <w:tcW w:w="1876" w:type="dxa"/>
            <w:tcBorders>
              <w:top w:val="nil"/>
              <w:left w:val="nil"/>
              <w:bottom w:val="nil"/>
              <w:right w:val="nil"/>
            </w:tcBorders>
            <w:noWrap/>
            <w:vAlign w:val="bottom"/>
            <w:hideMark/>
          </w:tcPr>
          <w:p w14:paraId="087632D5"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532,739</w:t>
            </w:r>
          </w:p>
        </w:tc>
        <w:tc>
          <w:tcPr>
            <w:tcW w:w="1050" w:type="dxa"/>
            <w:tcBorders>
              <w:top w:val="nil"/>
              <w:left w:val="nil"/>
              <w:bottom w:val="nil"/>
              <w:right w:val="nil"/>
            </w:tcBorders>
            <w:noWrap/>
            <w:vAlign w:val="bottom"/>
            <w:hideMark/>
          </w:tcPr>
          <w:p w14:paraId="3988DCC9" w14:textId="77777777" w:rsidR="00A70B77" w:rsidRPr="001B33B0" w:rsidRDefault="00A70B77" w:rsidP="00A70B77">
            <w:pPr>
              <w:spacing w:after="0" w:line="240" w:lineRule="auto"/>
              <w:jc w:val="right"/>
              <w:rPr>
                <w:rFonts w:eastAsia="Times New Roman" w:cs="Arial"/>
                <w:color w:val="000000"/>
                <w:sz w:val="20"/>
                <w:szCs w:val="20"/>
              </w:rPr>
            </w:pPr>
          </w:p>
        </w:tc>
        <w:tc>
          <w:tcPr>
            <w:tcW w:w="1096" w:type="dxa"/>
            <w:tcBorders>
              <w:top w:val="nil"/>
              <w:left w:val="nil"/>
              <w:bottom w:val="nil"/>
              <w:right w:val="nil"/>
            </w:tcBorders>
            <w:noWrap/>
            <w:vAlign w:val="bottom"/>
            <w:hideMark/>
          </w:tcPr>
          <w:p w14:paraId="528AE8D4"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3612F6BE"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109095D1" w14:textId="77777777" w:rsidR="00A70B77" w:rsidRPr="001B33B0" w:rsidRDefault="00A70B77" w:rsidP="00A70B77">
            <w:pPr>
              <w:spacing w:after="0" w:line="240" w:lineRule="auto"/>
              <w:rPr>
                <w:rFonts w:ascii="Times New Roman" w:eastAsia="Times New Roman" w:hAnsi="Times New Roman" w:cs="Times New Roman"/>
                <w:sz w:val="20"/>
                <w:szCs w:val="20"/>
              </w:rPr>
            </w:pPr>
          </w:p>
        </w:tc>
      </w:tr>
      <w:tr w:rsidR="00A70B77" w:rsidRPr="001B33B0" w14:paraId="5979D3DE" w14:textId="77777777" w:rsidTr="00A70B77">
        <w:trPr>
          <w:trHeight w:val="288"/>
        </w:trPr>
        <w:tc>
          <w:tcPr>
            <w:tcW w:w="3456" w:type="dxa"/>
            <w:tcBorders>
              <w:top w:val="nil"/>
              <w:left w:val="nil"/>
              <w:bottom w:val="nil"/>
              <w:right w:val="nil"/>
            </w:tcBorders>
            <w:noWrap/>
            <w:vAlign w:val="bottom"/>
            <w:hideMark/>
          </w:tcPr>
          <w:p w14:paraId="6E9A40DD" w14:textId="77777777" w:rsidR="00A70B77" w:rsidRPr="001B33B0" w:rsidRDefault="00A70B77" w:rsidP="00A70B77">
            <w:pPr>
              <w:spacing w:after="0" w:line="240" w:lineRule="auto"/>
              <w:rPr>
                <w:rFonts w:eastAsia="Times New Roman" w:cs="Arial"/>
                <w:color w:val="000000"/>
                <w:sz w:val="20"/>
                <w:szCs w:val="20"/>
              </w:rPr>
            </w:pPr>
            <w:r w:rsidRPr="001B33B0">
              <w:rPr>
                <w:rFonts w:eastAsia="Times New Roman" w:cs="Arial"/>
                <w:color w:val="000000"/>
                <w:sz w:val="20"/>
                <w:szCs w:val="20"/>
              </w:rPr>
              <w:t>Present Value of Terminal Value</w:t>
            </w:r>
          </w:p>
        </w:tc>
        <w:tc>
          <w:tcPr>
            <w:tcW w:w="1616" w:type="dxa"/>
            <w:tcBorders>
              <w:top w:val="nil"/>
              <w:left w:val="nil"/>
              <w:bottom w:val="nil"/>
              <w:right w:val="nil"/>
            </w:tcBorders>
            <w:noWrap/>
            <w:vAlign w:val="bottom"/>
            <w:hideMark/>
          </w:tcPr>
          <w:p w14:paraId="2EB73EB8"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3,712,145</w:t>
            </w:r>
          </w:p>
        </w:tc>
        <w:tc>
          <w:tcPr>
            <w:tcW w:w="1876" w:type="dxa"/>
            <w:tcBorders>
              <w:top w:val="nil"/>
              <w:left w:val="nil"/>
              <w:bottom w:val="nil"/>
              <w:right w:val="nil"/>
            </w:tcBorders>
            <w:noWrap/>
            <w:vAlign w:val="bottom"/>
            <w:hideMark/>
          </w:tcPr>
          <w:p w14:paraId="46EDE9FE"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1,425,788</w:t>
            </w:r>
          </w:p>
        </w:tc>
        <w:tc>
          <w:tcPr>
            <w:tcW w:w="1050" w:type="dxa"/>
            <w:tcBorders>
              <w:top w:val="nil"/>
              <w:left w:val="nil"/>
              <w:bottom w:val="nil"/>
              <w:right w:val="nil"/>
            </w:tcBorders>
            <w:noWrap/>
            <w:vAlign w:val="bottom"/>
            <w:hideMark/>
          </w:tcPr>
          <w:p w14:paraId="30368440" w14:textId="77777777" w:rsidR="00A70B77" w:rsidRPr="001B33B0" w:rsidRDefault="00A70B77" w:rsidP="00A70B77">
            <w:pPr>
              <w:spacing w:after="0" w:line="240" w:lineRule="auto"/>
              <w:jc w:val="right"/>
              <w:rPr>
                <w:rFonts w:eastAsia="Times New Roman" w:cs="Arial"/>
                <w:color w:val="000000"/>
                <w:sz w:val="20"/>
                <w:szCs w:val="20"/>
              </w:rPr>
            </w:pPr>
          </w:p>
        </w:tc>
        <w:tc>
          <w:tcPr>
            <w:tcW w:w="1096" w:type="dxa"/>
            <w:tcBorders>
              <w:top w:val="nil"/>
              <w:left w:val="nil"/>
              <w:bottom w:val="nil"/>
              <w:right w:val="nil"/>
            </w:tcBorders>
            <w:noWrap/>
            <w:vAlign w:val="bottom"/>
            <w:hideMark/>
          </w:tcPr>
          <w:p w14:paraId="367C4FF6"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5A14597F"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59BA41C4" w14:textId="77777777" w:rsidR="00A70B77" w:rsidRPr="001B33B0" w:rsidRDefault="00A70B77" w:rsidP="00A70B77">
            <w:pPr>
              <w:spacing w:after="0" w:line="240" w:lineRule="auto"/>
              <w:rPr>
                <w:rFonts w:ascii="Times New Roman" w:eastAsia="Times New Roman" w:hAnsi="Times New Roman" w:cs="Times New Roman"/>
                <w:sz w:val="20"/>
                <w:szCs w:val="20"/>
              </w:rPr>
            </w:pPr>
          </w:p>
        </w:tc>
      </w:tr>
      <w:tr w:rsidR="00A70B77" w:rsidRPr="001B33B0" w14:paraId="03317894" w14:textId="77777777" w:rsidTr="00A70B77">
        <w:trPr>
          <w:trHeight w:val="288"/>
        </w:trPr>
        <w:tc>
          <w:tcPr>
            <w:tcW w:w="3456" w:type="dxa"/>
            <w:tcBorders>
              <w:top w:val="nil"/>
              <w:left w:val="nil"/>
              <w:bottom w:val="nil"/>
              <w:right w:val="nil"/>
            </w:tcBorders>
            <w:noWrap/>
            <w:vAlign w:val="bottom"/>
            <w:hideMark/>
          </w:tcPr>
          <w:p w14:paraId="31C1D96B" w14:textId="77777777" w:rsidR="00A70B77" w:rsidRPr="001B33B0" w:rsidRDefault="00A70B77" w:rsidP="00A70B77">
            <w:pPr>
              <w:spacing w:after="0" w:line="240" w:lineRule="auto"/>
              <w:rPr>
                <w:rFonts w:eastAsia="Times New Roman" w:cs="Arial"/>
                <w:b/>
                <w:bCs/>
                <w:color w:val="8064A2"/>
                <w:sz w:val="20"/>
                <w:szCs w:val="20"/>
              </w:rPr>
            </w:pPr>
            <w:r w:rsidRPr="001B33B0">
              <w:rPr>
                <w:rFonts w:eastAsia="Times New Roman" w:cs="Arial"/>
                <w:b/>
                <w:bCs/>
                <w:color w:val="8064A2"/>
                <w:sz w:val="20"/>
                <w:szCs w:val="20"/>
              </w:rPr>
              <w:t>Total Enterprise Value</w:t>
            </w:r>
          </w:p>
        </w:tc>
        <w:tc>
          <w:tcPr>
            <w:tcW w:w="1616" w:type="dxa"/>
            <w:tcBorders>
              <w:top w:val="nil"/>
              <w:left w:val="nil"/>
              <w:bottom w:val="nil"/>
              <w:right w:val="nil"/>
            </w:tcBorders>
            <w:noWrap/>
            <w:vAlign w:val="bottom"/>
            <w:hideMark/>
          </w:tcPr>
          <w:p w14:paraId="74BEBBAE" w14:textId="77777777" w:rsidR="00A70B77" w:rsidRPr="001B33B0" w:rsidRDefault="00A70B77" w:rsidP="00A70B77">
            <w:pPr>
              <w:spacing w:after="0" w:line="240" w:lineRule="auto"/>
              <w:jc w:val="right"/>
              <w:rPr>
                <w:rFonts w:eastAsia="Times New Roman" w:cs="Arial"/>
                <w:b/>
                <w:bCs/>
                <w:color w:val="000000"/>
                <w:sz w:val="20"/>
                <w:szCs w:val="20"/>
              </w:rPr>
            </w:pPr>
            <w:r w:rsidRPr="001B33B0">
              <w:rPr>
                <w:rFonts w:eastAsia="Times New Roman" w:cs="Arial"/>
                <w:b/>
                <w:bCs/>
                <w:color w:val="000000"/>
                <w:sz w:val="20"/>
                <w:szCs w:val="20"/>
              </w:rPr>
              <w:t>4,244,884</w:t>
            </w:r>
          </w:p>
        </w:tc>
        <w:tc>
          <w:tcPr>
            <w:tcW w:w="1876" w:type="dxa"/>
            <w:tcBorders>
              <w:top w:val="nil"/>
              <w:left w:val="nil"/>
              <w:bottom w:val="nil"/>
              <w:right w:val="nil"/>
            </w:tcBorders>
            <w:noWrap/>
            <w:vAlign w:val="bottom"/>
            <w:hideMark/>
          </w:tcPr>
          <w:p w14:paraId="5432EBEF" w14:textId="77777777" w:rsidR="00A70B77" w:rsidRPr="001B33B0" w:rsidRDefault="00A70B77" w:rsidP="00A70B77">
            <w:pPr>
              <w:spacing w:after="0" w:line="240" w:lineRule="auto"/>
              <w:jc w:val="right"/>
              <w:rPr>
                <w:rFonts w:eastAsia="Times New Roman" w:cs="Arial"/>
                <w:b/>
                <w:bCs/>
                <w:color w:val="000000"/>
                <w:sz w:val="20"/>
                <w:szCs w:val="20"/>
              </w:rPr>
            </w:pPr>
            <w:r w:rsidRPr="001B33B0">
              <w:rPr>
                <w:rFonts w:eastAsia="Times New Roman" w:cs="Arial"/>
                <w:b/>
                <w:bCs/>
                <w:color w:val="000000"/>
                <w:sz w:val="20"/>
                <w:szCs w:val="20"/>
              </w:rPr>
              <w:t>1,958,527</w:t>
            </w:r>
          </w:p>
        </w:tc>
        <w:tc>
          <w:tcPr>
            <w:tcW w:w="1050" w:type="dxa"/>
            <w:tcBorders>
              <w:top w:val="nil"/>
              <w:left w:val="nil"/>
              <w:bottom w:val="nil"/>
              <w:right w:val="nil"/>
            </w:tcBorders>
            <w:noWrap/>
            <w:vAlign w:val="bottom"/>
            <w:hideMark/>
          </w:tcPr>
          <w:p w14:paraId="4092150D" w14:textId="77777777" w:rsidR="00A70B77" w:rsidRPr="001B33B0" w:rsidRDefault="00A70B77" w:rsidP="00A70B77">
            <w:pPr>
              <w:spacing w:after="0" w:line="240" w:lineRule="auto"/>
              <w:jc w:val="right"/>
              <w:rPr>
                <w:rFonts w:eastAsia="Times New Roman" w:cs="Arial"/>
                <w:b/>
                <w:bCs/>
                <w:color w:val="000000"/>
                <w:sz w:val="20"/>
                <w:szCs w:val="20"/>
              </w:rPr>
            </w:pPr>
          </w:p>
        </w:tc>
        <w:tc>
          <w:tcPr>
            <w:tcW w:w="1096" w:type="dxa"/>
            <w:tcBorders>
              <w:top w:val="nil"/>
              <w:left w:val="nil"/>
              <w:bottom w:val="nil"/>
              <w:right w:val="nil"/>
            </w:tcBorders>
            <w:noWrap/>
            <w:vAlign w:val="bottom"/>
            <w:hideMark/>
          </w:tcPr>
          <w:p w14:paraId="3F3E7CC6"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5B4584BB"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1501DABE" w14:textId="77777777" w:rsidR="00A70B77" w:rsidRPr="001B33B0" w:rsidRDefault="00A70B77" w:rsidP="00A70B77">
            <w:pPr>
              <w:spacing w:after="0" w:line="240" w:lineRule="auto"/>
              <w:rPr>
                <w:rFonts w:ascii="Times New Roman" w:eastAsia="Times New Roman" w:hAnsi="Times New Roman" w:cs="Times New Roman"/>
                <w:sz w:val="20"/>
                <w:szCs w:val="20"/>
              </w:rPr>
            </w:pPr>
          </w:p>
        </w:tc>
      </w:tr>
      <w:tr w:rsidR="00A70B77" w:rsidRPr="001B33B0" w14:paraId="633DD0EB" w14:textId="77777777" w:rsidTr="00A70B77">
        <w:trPr>
          <w:trHeight w:val="288"/>
        </w:trPr>
        <w:tc>
          <w:tcPr>
            <w:tcW w:w="3456" w:type="dxa"/>
            <w:tcBorders>
              <w:top w:val="nil"/>
              <w:left w:val="nil"/>
              <w:bottom w:val="nil"/>
              <w:right w:val="nil"/>
            </w:tcBorders>
            <w:noWrap/>
            <w:vAlign w:val="bottom"/>
            <w:hideMark/>
          </w:tcPr>
          <w:p w14:paraId="1BEB792B" w14:textId="77777777" w:rsidR="00A70B77" w:rsidRPr="001B33B0" w:rsidRDefault="00A70B77" w:rsidP="00A70B77">
            <w:pPr>
              <w:spacing w:after="0" w:line="240" w:lineRule="auto"/>
              <w:rPr>
                <w:rFonts w:eastAsia="Times New Roman" w:cs="Arial"/>
                <w:color w:val="000000"/>
                <w:sz w:val="20"/>
                <w:szCs w:val="20"/>
              </w:rPr>
            </w:pPr>
            <w:r w:rsidRPr="001B33B0">
              <w:rPr>
                <w:rFonts w:eastAsia="Times New Roman" w:cs="Arial"/>
                <w:color w:val="000000"/>
                <w:sz w:val="20"/>
                <w:szCs w:val="20"/>
              </w:rPr>
              <w:t>Less: Net Debt / (plus net cash)</w:t>
            </w:r>
          </w:p>
        </w:tc>
        <w:tc>
          <w:tcPr>
            <w:tcW w:w="1616" w:type="dxa"/>
            <w:tcBorders>
              <w:top w:val="nil"/>
              <w:left w:val="nil"/>
              <w:bottom w:val="nil"/>
              <w:right w:val="nil"/>
            </w:tcBorders>
            <w:noWrap/>
            <w:vAlign w:val="bottom"/>
            <w:hideMark/>
          </w:tcPr>
          <w:p w14:paraId="33943154"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(33,763)</w:t>
            </w:r>
          </w:p>
        </w:tc>
        <w:tc>
          <w:tcPr>
            <w:tcW w:w="1876" w:type="dxa"/>
            <w:tcBorders>
              <w:top w:val="nil"/>
              <w:left w:val="nil"/>
              <w:bottom w:val="nil"/>
              <w:right w:val="nil"/>
            </w:tcBorders>
            <w:noWrap/>
            <w:vAlign w:val="bottom"/>
            <w:hideMark/>
          </w:tcPr>
          <w:p w14:paraId="573531AA"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(33,763)</w:t>
            </w:r>
          </w:p>
        </w:tc>
        <w:tc>
          <w:tcPr>
            <w:tcW w:w="1050" w:type="dxa"/>
            <w:tcBorders>
              <w:top w:val="nil"/>
              <w:left w:val="nil"/>
              <w:bottom w:val="nil"/>
              <w:right w:val="nil"/>
            </w:tcBorders>
            <w:noWrap/>
            <w:vAlign w:val="bottom"/>
            <w:hideMark/>
          </w:tcPr>
          <w:p w14:paraId="2EBF31E8" w14:textId="77777777" w:rsidR="00A70B77" w:rsidRPr="001B33B0" w:rsidRDefault="00A70B77" w:rsidP="00A70B77">
            <w:pPr>
              <w:spacing w:after="0" w:line="240" w:lineRule="auto"/>
              <w:jc w:val="right"/>
              <w:rPr>
                <w:rFonts w:eastAsia="Times New Roman" w:cs="Arial"/>
                <w:color w:val="000000"/>
                <w:sz w:val="20"/>
                <w:szCs w:val="20"/>
              </w:rPr>
            </w:pPr>
          </w:p>
        </w:tc>
        <w:tc>
          <w:tcPr>
            <w:tcW w:w="1096" w:type="dxa"/>
            <w:tcBorders>
              <w:top w:val="nil"/>
              <w:left w:val="nil"/>
              <w:bottom w:val="nil"/>
              <w:right w:val="nil"/>
            </w:tcBorders>
            <w:noWrap/>
            <w:vAlign w:val="bottom"/>
            <w:hideMark/>
          </w:tcPr>
          <w:p w14:paraId="77EA6160"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75A6A6BE"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1557C56E" w14:textId="77777777" w:rsidR="00A70B77" w:rsidRPr="001B33B0" w:rsidRDefault="00A70B77" w:rsidP="00A70B77">
            <w:pPr>
              <w:spacing w:after="0" w:line="240" w:lineRule="auto"/>
              <w:rPr>
                <w:rFonts w:ascii="Times New Roman" w:eastAsia="Times New Roman" w:hAnsi="Times New Roman" w:cs="Times New Roman"/>
                <w:sz w:val="20"/>
                <w:szCs w:val="20"/>
              </w:rPr>
            </w:pPr>
          </w:p>
        </w:tc>
      </w:tr>
      <w:tr w:rsidR="00A70B77" w:rsidRPr="001B33B0" w14:paraId="35919A2B" w14:textId="77777777" w:rsidTr="00A70B77">
        <w:trPr>
          <w:trHeight w:val="288"/>
        </w:trPr>
        <w:tc>
          <w:tcPr>
            <w:tcW w:w="3456" w:type="dxa"/>
            <w:tcBorders>
              <w:top w:val="nil"/>
              <w:left w:val="nil"/>
              <w:bottom w:val="nil"/>
              <w:right w:val="nil"/>
            </w:tcBorders>
            <w:noWrap/>
            <w:vAlign w:val="bottom"/>
            <w:hideMark/>
          </w:tcPr>
          <w:p w14:paraId="5584BDE8" w14:textId="77777777" w:rsidR="00A70B77" w:rsidRPr="001B33B0" w:rsidRDefault="00A70B77" w:rsidP="00A70B77">
            <w:pPr>
              <w:spacing w:after="0" w:line="240" w:lineRule="auto"/>
              <w:rPr>
                <w:rFonts w:eastAsia="Times New Roman" w:cs="Arial"/>
                <w:b/>
                <w:bCs/>
                <w:color w:val="8064A2"/>
                <w:sz w:val="20"/>
                <w:szCs w:val="20"/>
              </w:rPr>
            </w:pPr>
            <w:r w:rsidRPr="001B33B0">
              <w:rPr>
                <w:rFonts w:eastAsia="Times New Roman" w:cs="Arial"/>
                <w:b/>
                <w:bCs/>
                <w:color w:val="8064A2"/>
                <w:sz w:val="20"/>
                <w:szCs w:val="20"/>
              </w:rPr>
              <w:t>Equity Value</w:t>
            </w:r>
          </w:p>
        </w:tc>
        <w:tc>
          <w:tcPr>
            <w:tcW w:w="1616" w:type="dxa"/>
            <w:tcBorders>
              <w:top w:val="nil"/>
              <w:left w:val="nil"/>
              <w:bottom w:val="nil"/>
              <w:right w:val="nil"/>
            </w:tcBorders>
            <w:noWrap/>
            <w:vAlign w:val="bottom"/>
            <w:hideMark/>
          </w:tcPr>
          <w:p w14:paraId="607654C1" w14:textId="77777777" w:rsidR="00A70B77" w:rsidRPr="001B33B0" w:rsidRDefault="00A70B77" w:rsidP="00A70B77">
            <w:pPr>
              <w:spacing w:after="0" w:line="240" w:lineRule="auto"/>
              <w:jc w:val="right"/>
              <w:rPr>
                <w:rFonts w:eastAsia="Times New Roman" w:cs="Arial"/>
                <w:b/>
                <w:bCs/>
                <w:color w:val="000000"/>
                <w:sz w:val="20"/>
                <w:szCs w:val="20"/>
              </w:rPr>
            </w:pPr>
            <w:r w:rsidRPr="001B33B0">
              <w:rPr>
                <w:rFonts w:eastAsia="Times New Roman" w:cs="Arial"/>
                <w:b/>
                <w:bCs/>
                <w:color w:val="000000"/>
                <w:sz w:val="20"/>
                <w:szCs w:val="20"/>
              </w:rPr>
              <w:t>4,278,647</w:t>
            </w:r>
          </w:p>
        </w:tc>
        <w:tc>
          <w:tcPr>
            <w:tcW w:w="1876" w:type="dxa"/>
            <w:tcBorders>
              <w:top w:val="nil"/>
              <w:left w:val="nil"/>
              <w:bottom w:val="nil"/>
              <w:right w:val="nil"/>
            </w:tcBorders>
            <w:noWrap/>
            <w:vAlign w:val="bottom"/>
            <w:hideMark/>
          </w:tcPr>
          <w:p w14:paraId="369E6A66" w14:textId="77777777" w:rsidR="00A70B77" w:rsidRPr="001B33B0" w:rsidRDefault="00A70B77" w:rsidP="00A70B77">
            <w:pPr>
              <w:spacing w:after="0" w:line="240" w:lineRule="auto"/>
              <w:jc w:val="right"/>
              <w:rPr>
                <w:rFonts w:eastAsia="Times New Roman" w:cs="Arial"/>
                <w:b/>
                <w:bCs/>
                <w:color w:val="000000"/>
                <w:sz w:val="20"/>
                <w:szCs w:val="20"/>
              </w:rPr>
            </w:pPr>
            <w:r w:rsidRPr="001B33B0">
              <w:rPr>
                <w:rFonts w:eastAsia="Times New Roman" w:cs="Arial"/>
                <w:b/>
                <w:bCs/>
                <w:color w:val="000000"/>
                <w:sz w:val="20"/>
                <w:szCs w:val="20"/>
              </w:rPr>
              <w:t>1,992,290</w:t>
            </w:r>
          </w:p>
        </w:tc>
        <w:tc>
          <w:tcPr>
            <w:tcW w:w="1050" w:type="dxa"/>
            <w:tcBorders>
              <w:top w:val="nil"/>
              <w:left w:val="nil"/>
              <w:bottom w:val="nil"/>
              <w:right w:val="nil"/>
            </w:tcBorders>
            <w:noWrap/>
            <w:vAlign w:val="bottom"/>
            <w:hideMark/>
          </w:tcPr>
          <w:p w14:paraId="76648F50" w14:textId="77777777" w:rsidR="00A70B77" w:rsidRPr="001B33B0" w:rsidRDefault="00A70B77" w:rsidP="00A70B77">
            <w:pPr>
              <w:spacing w:after="0" w:line="240" w:lineRule="auto"/>
              <w:jc w:val="right"/>
              <w:rPr>
                <w:rFonts w:eastAsia="Times New Roman" w:cs="Arial"/>
                <w:b/>
                <w:bCs/>
                <w:color w:val="000000"/>
                <w:sz w:val="20"/>
                <w:szCs w:val="20"/>
              </w:rPr>
            </w:pPr>
          </w:p>
        </w:tc>
        <w:tc>
          <w:tcPr>
            <w:tcW w:w="1096" w:type="dxa"/>
            <w:tcBorders>
              <w:top w:val="nil"/>
              <w:left w:val="nil"/>
              <w:bottom w:val="nil"/>
              <w:right w:val="nil"/>
            </w:tcBorders>
            <w:noWrap/>
            <w:vAlign w:val="bottom"/>
            <w:hideMark/>
          </w:tcPr>
          <w:p w14:paraId="0ADADC1D"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093AF551"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35E1E16B" w14:textId="77777777" w:rsidR="00A70B77" w:rsidRPr="001B33B0" w:rsidRDefault="00A70B77" w:rsidP="00A70B77">
            <w:pPr>
              <w:spacing w:after="0" w:line="240" w:lineRule="auto"/>
              <w:rPr>
                <w:rFonts w:ascii="Times New Roman" w:eastAsia="Times New Roman" w:hAnsi="Times New Roman" w:cs="Times New Roman"/>
                <w:sz w:val="20"/>
                <w:szCs w:val="20"/>
              </w:rPr>
            </w:pPr>
          </w:p>
        </w:tc>
      </w:tr>
      <w:tr w:rsidR="00A70B77" w:rsidRPr="001B33B0" w14:paraId="02CD58DA" w14:textId="77777777" w:rsidTr="00A70B77">
        <w:trPr>
          <w:trHeight w:val="288"/>
        </w:trPr>
        <w:tc>
          <w:tcPr>
            <w:tcW w:w="3456" w:type="dxa"/>
            <w:tcBorders>
              <w:top w:val="nil"/>
              <w:left w:val="nil"/>
              <w:bottom w:val="nil"/>
              <w:right w:val="nil"/>
            </w:tcBorders>
            <w:noWrap/>
            <w:vAlign w:val="bottom"/>
            <w:hideMark/>
          </w:tcPr>
          <w:p w14:paraId="2DD4245C" w14:textId="77777777" w:rsidR="00A70B77" w:rsidRPr="001B33B0" w:rsidRDefault="00A70B77" w:rsidP="00A70B77">
            <w:pPr>
              <w:spacing w:after="0" w:line="240" w:lineRule="auto"/>
              <w:rPr>
                <w:rFonts w:eastAsia="Times New Roman" w:cs="Arial"/>
                <w:color w:val="000000"/>
                <w:sz w:val="20"/>
                <w:szCs w:val="20"/>
              </w:rPr>
            </w:pPr>
            <w:r w:rsidRPr="001B33B0">
              <w:rPr>
                <w:rFonts w:eastAsia="Times New Roman" w:cs="Arial"/>
                <w:color w:val="000000"/>
                <w:sz w:val="20"/>
                <w:szCs w:val="20"/>
              </w:rPr>
              <w:t>Diluted Share Count (millions)</w:t>
            </w:r>
          </w:p>
        </w:tc>
        <w:tc>
          <w:tcPr>
            <w:tcW w:w="1616" w:type="dxa"/>
            <w:tcBorders>
              <w:top w:val="nil"/>
              <w:left w:val="nil"/>
              <w:bottom w:val="nil"/>
              <w:right w:val="nil"/>
            </w:tcBorders>
            <w:noWrap/>
            <w:vAlign w:val="bottom"/>
            <w:hideMark/>
          </w:tcPr>
          <w:p w14:paraId="3E83B4DD"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14,829</w:t>
            </w:r>
          </w:p>
        </w:tc>
        <w:tc>
          <w:tcPr>
            <w:tcW w:w="1876" w:type="dxa"/>
            <w:tcBorders>
              <w:top w:val="nil"/>
              <w:left w:val="nil"/>
              <w:bottom w:val="nil"/>
              <w:right w:val="nil"/>
            </w:tcBorders>
            <w:noWrap/>
            <w:vAlign w:val="bottom"/>
            <w:hideMark/>
          </w:tcPr>
          <w:p w14:paraId="5DBE5B26"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14,829</w:t>
            </w:r>
          </w:p>
        </w:tc>
        <w:tc>
          <w:tcPr>
            <w:tcW w:w="1050" w:type="dxa"/>
            <w:tcBorders>
              <w:top w:val="nil"/>
              <w:left w:val="nil"/>
              <w:bottom w:val="nil"/>
              <w:right w:val="nil"/>
            </w:tcBorders>
            <w:noWrap/>
            <w:vAlign w:val="bottom"/>
            <w:hideMark/>
          </w:tcPr>
          <w:p w14:paraId="6ABBAAFA" w14:textId="77777777" w:rsidR="00A70B77" w:rsidRPr="001B33B0" w:rsidRDefault="00A70B77" w:rsidP="00A70B77">
            <w:pPr>
              <w:spacing w:after="0" w:line="240" w:lineRule="auto"/>
              <w:jc w:val="right"/>
              <w:rPr>
                <w:rFonts w:eastAsia="Times New Roman" w:cs="Arial"/>
                <w:color w:val="000000"/>
                <w:sz w:val="20"/>
                <w:szCs w:val="20"/>
              </w:rPr>
            </w:pPr>
          </w:p>
        </w:tc>
        <w:tc>
          <w:tcPr>
            <w:tcW w:w="1096" w:type="dxa"/>
            <w:tcBorders>
              <w:top w:val="nil"/>
              <w:left w:val="nil"/>
              <w:bottom w:val="nil"/>
              <w:right w:val="nil"/>
            </w:tcBorders>
            <w:noWrap/>
            <w:vAlign w:val="bottom"/>
            <w:hideMark/>
          </w:tcPr>
          <w:p w14:paraId="3C9B216C"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265DF597"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7DA37506" w14:textId="77777777" w:rsidR="00A70B77" w:rsidRPr="001B33B0" w:rsidRDefault="00A70B77" w:rsidP="00A70B77">
            <w:pPr>
              <w:spacing w:after="0" w:line="240" w:lineRule="auto"/>
              <w:rPr>
                <w:rFonts w:ascii="Times New Roman" w:eastAsia="Times New Roman" w:hAnsi="Times New Roman" w:cs="Times New Roman"/>
                <w:sz w:val="20"/>
                <w:szCs w:val="20"/>
              </w:rPr>
            </w:pPr>
          </w:p>
        </w:tc>
      </w:tr>
      <w:tr w:rsidR="00A70B77" w:rsidRPr="001B33B0" w14:paraId="76D13D7A" w14:textId="77777777" w:rsidTr="00A70B77">
        <w:trPr>
          <w:trHeight w:val="288"/>
        </w:trPr>
        <w:tc>
          <w:tcPr>
            <w:tcW w:w="3456" w:type="dxa"/>
            <w:tcBorders>
              <w:top w:val="nil"/>
              <w:left w:val="nil"/>
              <w:bottom w:val="nil"/>
              <w:right w:val="nil"/>
            </w:tcBorders>
            <w:vAlign w:val="bottom"/>
            <w:hideMark/>
          </w:tcPr>
          <w:p w14:paraId="1AD64571" w14:textId="77777777" w:rsidR="00A70B77" w:rsidRPr="001B33B0" w:rsidRDefault="00A70B77" w:rsidP="00A70B77">
            <w:pPr>
              <w:spacing w:after="0" w:line="240" w:lineRule="auto"/>
              <w:rPr>
                <w:rFonts w:eastAsia="Times New Roman" w:cs="Arial"/>
                <w:color w:val="000000"/>
                <w:sz w:val="20"/>
                <w:szCs w:val="20"/>
              </w:rPr>
            </w:pPr>
            <w:r w:rsidRPr="001B33B0">
              <w:rPr>
                <w:rFonts w:eastAsia="Times New Roman" w:cs="Arial"/>
                <w:color w:val="000000"/>
                <w:sz w:val="20"/>
                <w:szCs w:val="20"/>
              </w:rPr>
              <w:t>Estimated Equity Value per Share at 27-Sep-2025</w:t>
            </w:r>
          </w:p>
        </w:tc>
        <w:tc>
          <w:tcPr>
            <w:tcW w:w="1616" w:type="dxa"/>
            <w:tcBorders>
              <w:top w:val="nil"/>
              <w:left w:val="nil"/>
              <w:bottom w:val="nil"/>
              <w:right w:val="nil"/>
            </w:tcBorders>
            <w:noWrap/>
            <w:vAlign w:val="bottom"/>
            <w:hideMark/>
          </w:tcPr>
          <w:p w14:paraId="2932B3E8"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$288.53</w:t>
            </w:r>
          </w:p>
        </w:tc>
        <w:tc>
          <w:tcPr>
            <w:tcW w:w="1876" w:type="dxa"/>
            <w:tcBorders>
              <w:top w:val="nil"/>
              <w:left w:val="nil"/>
              <w:bottom w:val="nil"/>
              <w:right w:val="nil"/>
            </w:tcBorders>
            <w:noWrap/>
            <w:vAlign w:val="bottom"/>
            <w:hideMark/>
          </w:tcPr>
          <w:p w14:paraId="192C8A13"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$134.35</w:t>
            </w:r>
          </w:p>
        </w:tc>
        <w:tc>
          <w:tcPr>
            <w:tcW w:w="1050" w:type="dxa"/>
            <w:tcBorders>
              <w:top w:val="nil"/>
              <w:left w:val="nil"/>
              <w:bottom w:val="nil"/>
              <w:right w:val="nil"/>
            </w:tcBorders>
            <w:noWrap/>
            <w:vAlign w:val="bottom"/>
            <w:hideMark/>
          </w:tcPr>
          <w:p w14:paraId="5CB9B69E" w14:textId="77777777" w:rsidR="00A70B77" w:rsidRPr="001B33B0" w:rsidRDefault="00A70B77" w:rsidP="00A70B77">
            <w:pPr>
              <w:spacing w:after="0" w:line="240" w:lineRule="auto"/>
              <w:jc w:val="right"/>
              <w:rPr>
                <w:rFonts w:eastAsia="Times New Roman" w:cs="Arial"/>
                <w:color w:val="000000"/>
                <w:sz w:val="20"/>
                <w:szCs w:val="20"/>
              </w:rPr>
            </w:pPr>
          </w:p>
        </w:tc>
        <w:tc>
          <w:tcPr>
            <w:tcW w:w="1096" w:type="dxa"/>
            <w:tcBorders>
              <w:top w:val="nil"/>
              <w:left w:val="nil"/>
              <w:bottom w:val="nil"/>
              <w:right w:val="nil"/>
            </w:tcBorders>
            <w:noWrap/>
            <w:vAlign w:val="bottom"/>
            <w:hideMark/>
          </w:tcPr>
          <w:p w14:paraId="5B9FC2AF"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1AFC9402"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66C6E1CC" w14:textId="77777777" w:rsidR="00A70B77" w:rsidRPr="001B33B0" w:rsidRDefault="00A70B77" w:rsidP="00A70B77">
            <w:pPr>
              <w:spacing w:after="0" w:line="240" w:lineRule="auto"/>
              <w:rPr>
                <w:rFonts w:ascii="Times New Roman" w:eastAsia="Times New Roman" w:hAnsi="Times New Roman" w:cs="Times New Roman"/>
                <w:sz w:val="20"/>
                <w:szCs w:val="20"/>
              </w:rPr>
            </w:pPr>
          </w:p>
        </w:tc>
      </w:tr>
      <w:tr w:rsidR="00A70B77" w:rsidRPr="001B33B0" w14:paraId="5F0E61B9" w14:textId="77777777" w:rsidTr="00A70B77">
        <w:trPr>
          <w:trHeight w:val="288"/>
        </w:trPr>
        <w:tc>
          <w:tcPr>
            <w:tcW w:w="3456" w:type="dxa"/>
            <w:tcBorders>
              <w:top w:val="nil"/>
              <w:left w:val="nil"/>
              <w:bottom w:val="nil"/>
              <w:right w:val="nil"/>
            </w:tcBorders>
            <w:vAlign w:val="bottom"/>
            <w:hideMark/>
          </w:tcPr>
          <w:p w14:paraId="54306083" w14:textId="77777777" w:rsidR="00A70B77" w:rsidRPr="001B33B0" w:rsidRDefault="00A70B77" w:rsidP="00A70B77">
            <w:pPr>
              <w:spacing w:after="0" w:line="240" w:lineRule="auto"/>
              <w:rPr>
                <w:rFonts w:eastAsia="Times New Roman" w:cs="Arial"/>
                <w:color w:val="000000"/>
                <w:sz w:val="20"/>
                <w:szCs w:val="20"/>
              </w:rPr>
            </w:pPr>
            <w:r w:rsidRPr="001B33B0">
              <w:rPr>
                <w:rFonts w:eastAsia="Times New Roman" w:cs="Arial"/>
                <w:color w:val="000000"/>
                <w:sz w:val="20"/>
                <w:szCs w:val="20"/>
              </w:rPr>
              <w:t>Years from valuation date to pricing date</w:t>
            </w:r>
          </w:p>
        </w:tc>
        <w:tc>
          <w:tcPr>
            <w:tcW w:w="1616" w:type="dxa"/>
            <w:tcBorders>
              <w:top w:val="nil"/>
              <w:left w:val="nil"/>
              <w:bottom w:val="nil"/>
              <w:right w:val="nil"/>
            </w:tcBorders>
            <w:noWrap/>
            <w:vAlign w:val="bottom"/>
            <w:hideMark/>
          </w:tcPr>
          <w:p w14:paraId="5EF370B5"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1.03</w:t>
            </w:r>
          </w:p>
        </w:tc>
        <w:tc>
          <w:tcPr>
            <w:tcW w:w="1876" w:type="dxa"/>
            <w:tcBorders>
              <w:top w:val="nil"/>
              <w:left w:val="nil"/>
              <w:bottom w:val="nil"/>
              <w:right w:val="nil"/>
            </w:tcBorders>
            <w:noWrap/>
            <w:vAlign w:val="bottom"/>
            <w:hideMark/>
          </w:tcPr>
          <w:p w14:paraId="3C37B7E8"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1.03</w:t>
            </w:r>
          </w:p>
        </w:tc>
        <w:tc>
          <w:tcPr>
            <w:tcW w:w="1050" w:type="dxa"/>
            <w:tcBorders>
              <w:top w:val="nil"/>
              <w:left w:val="nil"/>
              <w:bottom w:val="nil"/>
              <w:right w:val="nil"/>
            </w:tcBorders>
            <w:noWrap/>
            <w:vAlign w:val="bottom"/>
            <w:hideMark/>
          </w:tcPr>
          <w:p w14:paraId="40970531" w14:textId="77777777" w:rsidR="00A70B77" w:rsidRPr="001B33B0" w:rsidRDefault="00A70B77" w:rsidP="00A70B77">
            <w:pPr>
              <w:spacing w:after="0" w:line="240" w:lineRule="auto"/>
              <w:jc w:val="right"/>
              <w:rPr>
                <w:rFonts w:eastAsia="Times New Roman" w:cs="Arial"/>
                <w:color w:val="000000"/>
                <w:sz w:val="20"/>
                <w:szCs w:val="20"/>
              </w:rPr>
            </w:pPr>
          </w:p>
        </w:tc>
        <w:tc>
          <w:tcPr>
            <w:tcW w:w="1096" w:type="dxa"/>
            <w:tcBorders>
              <w:top w:val="nil"/>
              <w:left w:val="nil"/>
              <w:bottom w:val="nil"/>
              <w:right w:val="nil"/>
            </w:tcBorders>
            <w:noWrap/>
            <w:vAlign w:val="bottom"/>
            <w:hideMark/>
          </w:tcPr>
          <w:p w14:paraId="7CAEEE55"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5DFA224C"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60029B58" w14:textId="77777777" w:rsidR="00A70B77" w:rsidRPr="001B33B0" w:rsidRDefault="00A70B77" w:rsidP="00A70B77">
            <w:pPr>
              <w:spacing w:after="0" w:line="240" w:lineRule="auto"/>
              <w:rPr>
                <w:rFonts w:ascii="Times New Roman" w:eastAsia="Times New Roman" w:hAnsi="Times New Roman" w:cs="Times New Roman"/>
                <w:sz w:val="20"/>
                <w:szCs w:val="20"/>
              </w:rPr>
            </w:pPr>
          </w:p>
        </w:tc>
      </w:tr>
      <w:tr w:rsidR="00A70B77" w:rsidRPr="001B33B0" w14:paraId="036E6251" w14:textId="77777777" w:rsidTr="00A70B77">
        <w:trPr>
          <w:trHeight w:val="540"/>
        </w:trPr>
        <w:tc>
          <w:tcPr>
            <w:tcW w:w="3456" w:type="dxa"/>
            <w:tcBorders>
              <w:top w:val="nil"/>
              <w:left w:val="nil"/>
              <w:bottom w:val="nil"/>
              <w:right w:val="nil"/>
            </w:tcBorders>
            <w:vAlign w:val="bottom"/>
            <w:hideMark/>
          </w:tcPr>
          <w:p w14:paraId="45C7DF7B" w14:textId="77777777" w:rsidR="00A70B77" w:rsidRPr="001B33B0" w:rsidRDefault="00A70B77" w:rsidP="00A70B77">
            <w:pPr>
              <w:spacing w:after="0" w:line="240" w:lineRule="auto"/>
              <w:rPr>
                <w:rFonts w:eastAsia="Times New Roman" w:cs="Arial"/>
                <w:color w:val="000000"/>
                <w:sz w:val="20"/>
                <w:szCs w:val="20"/>
              </w:rPr>
            </w:pPr>
            <w:r w:rsidRPr="001B33B0">
              <w:rPr>
                <w:rFonts w:eastAsia="Times New Roman" w:cs="Arial"/>
                <w:color w:val="000000"/>
                <w:sz w:val="20"/>
                <w:szCs w:val="20"/>
              </w:rPr>
              <w:t>Less: dividends per share paid in the period (FY26E DPS)</w:t>
            </w:r>
          </w:p>
        </w:tc>
        <w:tc>
          <w:tcPr>
            <w:tcW w:w="1616" w:type="dxa"/>
            <w:tcBorders>
              <w:top w:val="nil"/>
              <w:left w:val="nil"/>
              <w:bottom w:val="nil"/>
              <w:right w:val="nil"/>
            </w:tcBorders>
            <w:noWrap/>
            <w:vAlign w:val="bottom"/>
            <w:hideMark/>
          </w:tcPr>
          <w:p w14:paraId="1FD55364" w14:textId="77777777" w:rsidR="00A70B77" w:rsidRPr="001B33B0" w:rsidRDefault="00A70B77" w:rsidP="00A70B77">
            <w:pPr>
              <w:spacing w:after="0" w:line="240" w:lineRule="auto"/>
              <w:jc w:val="right"/>
              <w:rPr>
                <w:rFonts w:eastAsia="Times New Roman" w:cs="Arial"/>
                <w:color w:val="008000"/>
                <w:sz w:val="20"/>
                <w:szCs w:val="20"/>
              </w:rPr>
            </w:pPr>
            <w:r w:rsidRPr="001B33B0">
              <w:rPr>
                <w:rFonts w:eastAsia="Times New Roman" w:cs="Arial"/>
                <w:color w:val="008000"/>
                <w:sz w:val="20"/>
                <w:szCs w:val="20"/>
              </w:rPr>
              <w:t>$1.06</w:t>
            </w:r>
          </w:p>
        </w:tc>
        <w:tc>
          <w:tcPr>
            <w:tcW w:w="1876" w:type="dxa"/>
            <w:tcBorders>
              <w:top w:val="nil"/>
              <w:left w:val="nil"/>
              <w:bottom w:val="nil"/>
              <w:right w:val="nil"/>
            </w:tcBorders>
            <w:noWrap/>
            <w:vAlign w:val="bottom"/>
            <w:hideMark/>
          </w:tcPr>
          <w:p w14:paraId="55ECF7C5"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$1.06</w:t>
            </w:r>
          </w:p>
        </w:tc>
        <w:tc>
          <w:tcPr>
            <w:tcW w:w="1050" w:type="dxa"/>
            <w:tcBorders>
              <w:top w:val="nil"/>
              <w:left w:val="nil"/>
              <w:bottom w:val="nil"/>
              <w:right w:val="nil"/>
            </w:tcBorders>
            <w:noWrap/>
            <w:vAlign w:val="bottom"/>
            <w:hideMark/>
          </w:tcPr>
          <w:p w14:paraId="7EEA359A" w14:textId="77777777" w:rsidR="00A70B77" w:rsidRPr="001B33B0" w:rsidRDefault="00A70B77" w:rsidP="00A70B77">
            <w:pPr>
              <w:spacing w:after="0" w:line="240" w:lineRule="auto"/>
              <w:jc w:val="right"/>
              <w:rPr>
                <w:rFonts w:eastAsia="Times New Roman" w:cs="Arial"/>
                <w:color w:val="000000"/>
                <w:sz w:val="20"/>
                <w:szCs w:val="20"/>
              </w:rPr>
            </w:pPr>
          </w:p>
        </w:tc>
        <w:tc>
          <w:tcPr>
            <w:tcW w:w="1096" w:type="dxa"/>
            <w:tcBorders>
              <w:top w:val="nil"/>
              <w:left w:val="nil"/>
              <w:bottom w:val="nil"/>
              <w:right w:val="nil"/>
            </w:tcBorders>
            <w:noWrap/>
            <w:vAlign w:val="bottom"/>
            <w:hideMark/>
          </w:tcPr>
          <w:p w14:paraId="7A174A81"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6A9236EA"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0651992F" w14:textId="77777777" w:rsidR="00A70B77" w:rsidRPr="001B33B0" w:rsidRDefault="00A70B77" w:rsidP="00A70B77">
            <w:pPr>
              <w:spacing w:after="0" w:line="240" w:lineRule="auto"/>
              <w:rPr>
                <w:rFonts w:ascii="Times New Roman" w:eastAsia="Times New Roman" w:hAnsi="Times New Roman" w:cs="Times New Roman"/>
                <w:sz w:val="20"/>
                <w:szCs w:val="20"/>
              </w:rPr>
            </w:pPr>
          </w:p>
        </w:tc>
      </w:tr>
      <w:tr w:rsidR="00A70B77" w:rsidRPr="001B33B0" w14:paraId="120EF5A5" w14:textId="77777777" w:rsidTr="00A70B77">
        <w:trPr>
          <w:trHeight w:val="288"/>
        </w:trPr>
        <w:tc>
          <w:tcPr>
            <w:tcW w:w="3456" w:type="dxa"/>
            <w:tcBorders>
              <w:top w:val="nil"/>
              <w:left w:val="nil"/>
              <w:bottom w:val="nil"/>
              <w:right w:val="nil"/>
            </w:tcBorders>
            <w:noWrap/>
            <w:vAlign w:val="bottom"/>
            <w:hideMark/>
          </w:tcPr>
          <w:p w14:paraId="3CBE606B" w14:textId="77777777" w:rsidR="00A70B77" w:rsidRPr="001B33B0" w:rsidRDefault="00A70B77" w:rsidP="00A70B77">
            <w:pPr>
              <w:spacing w:after="0" w:line="240" w:lineRule="auto"/>
              <w:rPr>
                <w:rFonts w:eastAsia="Times New Roman" w:cs="Arial"/>
                <w:b/>
                <w:bCs/>
                <w:color w:val="8064A2"/>
                <w:sz w:val="20"/>
                <w:szCs w:val="20"/>
              </w:rPr>
            </w:pPr>
            <w:r w:rsidRPr="001B33B0">
              <w:rPr>
                <w:rFonts w:eastAsia="Times New Roman" w:cs="Arial"/>
                <w:b/>
                <w:bCs/>
                <w:color w:val="8064A2"/>
                <w:sz w:val="20"/>
                <w:szCs w:val="20"/>
              </w:rPr>
              <w:t xml:space="preserve">Equity Value per </w:t>
            </w:r>
          </w:p>
        </w:tc>
        <w:tc>
          <w:tcPr>
            <w:tcW w:w="1616" w:type="dxa"/>
            <w:tcBorders>
              <w:top w:val="nil"/>
              <w:left w:val="nil"/>
              <w:bottom w:val="nil"/>
              <w:right w:val="nil"/>
            </w:tcBorders>
            <w:noWrap/>
            <w:vAlign w:val="bottom"/>
            <w:hideMark/>
          </w:tcPr>
          <w:p w14:paraId="6E85BC0A"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$317.79</w:t>
            </w:r>
          </w:p>
        </w:tc>
        <w:tc>
          <w:tcPr>
            <w:tcW w:w="1876" w:type="dxa"/>
            <w:tcBorders>
              <w:top w:val="nil"/>
              <w:left w:val="nil"/>
              <w:bottom w:val="nil"/>
              <w:right w:val="nil"/>
            </w:tcBorders>
            <w:noWrap/>
            <w:vAlign w:val="bottom"/>
            <w:hideMark/>
          </w:tcPr>
          <w:p w14:paraId="1B8BBD4D"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$147.41</w:t>
            </w:r>
          </w:p>
        </w:tc>
        <w:tc>
          <w:tcPr>
            <w:tcW w:w="1050" w:type="dxa"/>
            <w:tcBorders>
              <w:top w:val="nil"/>
              <w:left w:val="nil"/>
              <w:bottom w:val="nil"/>
              <w:right w:val="nil"/>
            </w:tcBorders>
            <w:noWrap/>
            <w:vAlign w:val="bottom"/>
            <w:hideMark/>
          </w:tcPr>
          <w:p w14:paraId="5AE9FB94" w14:textId="77777777" w:rsidR="00A70B77" w:rsidRPr="001B33B0" w:rsidRDefault="00A70B77" w:rsidP="00A70B77">
            <w:pPr>
              <w:spacing w:after="0" w:line="240" w:lineRule="auto"/>
              <w:jc w:val="right"/>
              <w:rPr>
                <w:rFonts w:eastAsia="Times New Roman" w:cs="Arial"/>
                <w:color w:val="000000"/>
                <w:sz w:val="20"/>
                <w:szCs w:val="20"/>
              </w:rPr>
            </w:pPr>
          </w:p>
        </w:tc>
        <w:tc>
          <w:tcPr>
            <w:tcW w:w="1096" w:type="dxa"/>
            <w:tcBorders>
              <w:top w:val="nil"/>
              <w:left w:val="nil"/>
              <w:bottom w:val="nil"/>
              <w:right w:val="nil"/>
            </w:tcBorders>
            <w:noWrap/>
            <w:vAlign w:val="bottom"/>
            <w:hideMark/>
          </w:tcPr>
          <w:p w14:paraId="5D6536FA"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0EFB0956"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4FA1ED07" w14:textId="77777777" w:rsidR="00A70B77" w:rsidRPr="001B33B0" w:rsidRDefault="00A70B77" w:rsidP="00A70B77">
            <w:pPr>
              <w:spacing w:after="0" w:line="240" w:lineRule="auto"/>
              <w:rPr>
                <w:rFonts w:ascii="Times New Roman" w:eastAsia="Times New Roman" w:hAnsi="Times New Roman" w:cs="Times New Roman"/>
                <w:sz w:val="20"/>
                <w:szCs w:val="20"/>
              </w:rPr>
            </w:pPr>
          </w:p>
        </w:tc>
      </w:tr>
      <w:tr w:rsidR="00A70B77" w:rsidRPr="001B33B0" w14:paraId="38D95F57" w14:textId="77777777" w:rsidTr="00A70B77">
        <w:trPr>
          <w:trHeight w:val="288"/>
        </w:trPr>
        <w:tc>
          <w:tcPr>
            <w:tcW w:w="3456" w:type="dxa"/>
            <w:tcBorders>
              <w:top w:val="nil"/>
              <w:left w:val="nil"/>
              <w:bottom w:val="nil"/>
              <w:right w:val="nil"/>
            </w:tcBorders>
            <w:noWrap/>
            <w:vAlign w:val="bottom"/>
            <w:hideMark/>
          </w:tcPr>
          <w:p w14:paraId="62F27515" w14:textId="77777777" w:rsidR="00A70B77" w:rsidRPr="001B33B0" w:rsidRDefault="00A70B77" w:rsidP="00A70B77">
            <w:pPr>
              <w:spacing w:after="0" w:line="240" w:lineRule="auto"/>
              <w:rPr>
                <w:rFonts w:eastAsia="Times New Roman" w:cs="Arial"/>
                <w:color w:val="000000"/>
                <w:sz w:val="20"/>
                <w:szCs w:val="20"/>
              </w:rPr>
            </w:pPr>
            <w:r w:rsidRPr="001B33B0">
              <w:rPr>
                <w:rFonts w:eastAsia="Times New Roman" w:cs="Arial"/>
                <w:color w:val="000000"/>
                <w:sz w:val="20"/>
                <w:szCs w:val="20"/>
              </w:rPr>
              <w:t>Current share price</w:t>
            </w:r>
          </w:p>
        </w:tc>
        <w:tc>
          <w:tcPr>
            <w:tcW w:w="1616" w:type="dxa"/>
            <w:tcBorders>
              <w:top w:val="nil"/>
              <w:left w:val="nil"/>
              <w:bottom w:val="nil"/>
              <w:right w:val="nil"/>
            </w:tcBorders>
            <w:noWrap/>
            <w:vAlign w:val="bottom"/>
            <w:hideMark/>
          </w:tcPr>
          <w:p w14:paraId="0A82A509"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$340.42</w:t>
            </w:r>
          </w:p>
        </w:tc>
        <w:tc>
          <w:tcPr>
            <w:tcW w:w="1876" w:type="dxa"/>
            <w:tcBorders>
              <w:top w:val="nil"/>
              <w:left w:val="nil"/>
              <w:bottom w:val="nil"/>
              <w:right w:val="nil"/>
            </w:tcBorders>
            <w:noWrap/>
            <w:vAlign w:val="bottom"/>
            <w:hideMark/>
          </w:tcPr>
          <w:p w14:paraId="51020E27"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$340.42</w:t>
            </w:r>
          </w:p>
        </w:tc>
        <w:tc>
          <w:tcPr>
            <w:tcW w:w="1050" w:type="dxa"/>
            <w:tcBorders>
              <w:top w:val="nil"/>
              <w:left w:val="nil"/>
              <w:bottom w:val="nil"/>
              <w:right w:val="nil"/>
            </w:tcBorders>
            <w:noWrap/>
            <w:vAlign w:val="bottom"/>
            <w:hideMark/>
          </w:tcPr>
          <w:p w14:paraId="56E5DDBC" w14:textId="77777777" w:rsidR="00A70B77" w:rsidRPr="001B33B0" w:rsidRDefault="00A70B77" w:rsidP="00A70B77">
            <w:pPr>
              <w:spacing w:after="0" w:line="240" w:lineRule="auto"/>
              <w:jc w:val="right"/>
              <w:rPr>
                <w:rFonts w:eastAsia="Times New Roman" w:cs="Arial"/>
                <w:color w:val="000000"/>
                <w:sz w:val="20"/>
                <w:szCs w:val="20"/>
              </w:rPr>
            </w:pPr>
          </w:p>
        </w:tc>
        <w:tc>
          <w:tcPr>
            <w:tcW w:w="1096" w:type="dxa"/>
            <w:tcBorders>
              <w:top w:val="nil"/>
              <w:left w:val="nil"/>
              <w:bottom w:val="nil"/>
              <w:right w:val="nil"/>
            </w:tcBorders>
            <w:noWrap/>
            <w:vAlign w:val="bottom"/>
            <w:hideMark/>
          </w:tcPr>
          <w:p w14:paraId="4B7860E5"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642A04BC"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3B048E71" w14:textId="77777777" w:rsidR="00A70B77" w:rsidRPr="001B33B0" w:rsidRDefault="00A70B77" w:rsidP="00A70B77">
            <w:pPr>
              <w:spacing w:after="0" w:line="240" w:lineRule="auto"/>
              <w:rPr>
                <w:rFonts w:ascii="Times New Roman" w:eastAsia="Times New Roman" w:hAnsi="Times New Roman" w:cs="Times New Roman"/>
                <w:sz w:val="20"/>
                <w:szCs w:val="20"/>
              </w:rPr>
            </w:pPr>
          </w:p>
        </w:tc>
      </w:tr>
      <w:tr w:rsidR="00A70B77" w:rsidRPr="001B33B0" w14:paraId="4241349A" w14:textId="77777777" w:rsidTr="00A70B77">
        <w:trPr>
          <w:trHeight w:val="540"/>
        </w:trPr>
        <w:tc>
          <w:tcPr>
            <w:tcW w:w="3456" w:type="dxa"/>
            <w:tcBorders>
              <w:top w:val="nil"/>
              <w:left w:val="nil"/>
              <w:bottom w:val="nil"/>
              <w:right w:val="nil"/>
            </w:tcBorders>
            <w:vAlign w:val="bottom"/>
            <w:hideMark/>
          </w:tcPr>
          <w:p w14:paraId="062B61BA" w14:textId="77777777" w:rsidR="00A70B77" w:rsidRPr="001B33B0" w:rsidRDefault="00A70B77" w:rsidP="00A70B77">
            <w:pPr>
              <w:spacing w:after="0" w:line="240" w:lineRule="auto"/>
              <w:rPr>
                <w:rFonts w:eastAsia="Times New Roman" w:cs="Arial"/>
                <w:color w:val="000000"/>
                <w:sz w:val="20"/>
                <w:szCs w:val="20"/>
              </w:rPr>
            </w:pPr>
            <w:r w:rsidRPr="001B33B0">
              <w:rPr>
                <w:rFonts w:eastAsia="Times New Roman" w:cs="Arial"/>
                <w:color w:val="000000"/>
                <w:sz w:val="20"/>
                <w:szCs w:val="20"/>
              </w:rPr>
              <w:t>DCF value vs. current price: premium / (discount)</w:t>
            </w:r>
          </w:p>
        </w:tc>
        <w:tc>
          <w:tcPr>
            <w:tcW w:w="1616" w:type="dxa"/>
            <w:tcBorders>
              <w:top w:val="nil"/>
              <w:left w:val="nil"/>
              <w:bottom w:val="nil"/>
              <w:right w:val="nil"/>
            </w:tcBorders>
            <w:noWrap/>
            <w:vAlign w:val="bottom"/>
            <w:hideMark/>
          </w:tcPr>
          <w:p w14:paraId="4950DD3C"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(6.6%)</w:t>
            </w:r>
          </w:p>
        </w:tc>
        <w:tc>
          <w:tcPr>
            <w:tcW w:w="1876" w:type="dxa"/>
            <w:tcBorders>
              <w:top w:val="nil"/>
              <w:left w:val="nil"/>
              <w:bottom w:val="nil"/>
              <w:right w:val="nil"/>
            </w:tcBorders>
            <w:noWrap/>
            <w:vAlign w:val="bottom"/>
            <w:hideMark/>
          </w:tcPr>
          <w:p w14:paraId="3E441745"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(56.7%)</w:t>
            </w:r>
          </w:p>
        </w:tc>
        <w:tc>
          <w:tcPr>
            <w:tcW w:w="1050" w:type="dxa"/>
            <w:tcBorders>
              <w:top w:val="nil"/>
              <w:left w:val="nil"/>
              <w:bottom w:val="nil"/>
              <w:right w:val="nil"/>
            </w:tcBorders>
            <w:noWrap/>
            <w:vAlign w:val="bottom"/>
            <w:hideMark/>
          </w:tcPr>
          <w:p w14:paraId="553D8F0D" w14:textId="77777777" w:rsidR="00A70B77" w:rsidRPr="001B33B0" w:rsidRDefault="00A70B77" w:rsidP="00A70B77">
            <w:pPr>
              <w:spacing w:after="0" w:line="240" w:lineRule="auto"/>
              <w:jc w:val="right"/>
              <w:rPr>
                <w:rFonts w:eastAsia="Times New Roman" w:cs="Arial"/>
                <w:color w:val="000000"/>
                <w:sz w:val="20"/>
                <w:szCs w:val="20"/>
              </w:rPr>
            </w:pPr>
          </w:p>
        </w:tc>
        <w:tc>
          <w:tcPr>
            <w:tcW w:w="1096" w:type="dxa"/>
            <w:tcBorders>
              <w:top w:val="nil"/>
              <w:left w:val="nil"/>
              <w:bottom w:val="nil"/>
              <w:right w:val="nil"/>
            </w:tcBorders>
            <w:noWrap/>
            <w:vAlign w:val="bottom"/>
            <w:hideMark/>
          </w:tcPr>
          <w:p w14:paraId="35A5CF86"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35170D70"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050" w:type="dxa"/>
            <w:tcBorders>
              <w:top w:val="nil"/>
              <w:left w:val="nil"/>
              <w:bottom w:val="nil"/>
              <w:right w:val="nil"/>
            </w:tcBorders>
            <w:noWrap/>
            <w:vAlign w:val="bottom"/>
            <w:hideMark/>
          </w:tcPr>
          <w:p w14:paraId="506B5FA6" w14:textId="77777777" w:rsidR="00A70B77" w:rsidRPr="001B33B0" w:rsidRDefault="00A70B77" w:rsidP="00A70B77">
            <w:pPr>
              <w:spacing w:after="0" w:line="240" w:lineRule="auto"/>
              <w:rPr>
                <w:rFonts w:ascii="Times New Roman" w:eastAsia="Times New Roman" w:hAnsi="Times New Roman" w:cs="Times New Roman"/>
                <w:sz w:val="20"/>
                <w:szCs w:val="20"/>
              </w:rPr>
            </w:pPr>
          </w:p>
        </w:tc>
      </w:tr>
    </w:tbl>
    <w:p w14:paraId="4D2C1731" w14:textId="77777777" w:rsidR="00A70B77" w:rsidRDefault="00A70B77" w:rsidP="00A70B77">
      <w:pPr>
        <w:spacing w:before="40" w:after="100"/>
      </w:pPr>
      <w:r>
        <w:rPr>
          <w:i/>
          <w:color w:val="5F5F5F"/>
          <w:sz w:val="15"/>
        </w:rPr>
        <w:t xml:space="preserve">Source: </w:t>
      </w:r>
      <w:proofErr w:type="spellStart"/>
      <w:r>
        <w:rPr>
          <w:i/>
          <w:color w:val="5F5F5F"/>
          <w:sz w:val="15"/>
        </w:rPr>
        <w:t>aApple</w:t>
      </w:r>
      <w:proofErr w:type="spellEnd"/>
      <w:r>
        <w:rPr>
          <w:i/>
          <w:color w:val="5F5F5F"/>
          <w:sz w:val="15"/>
        </w:rPr>
        <w:t xml:space="preserve"> </w:t>
      </w:r>
      <w:proofErr w:type="gramStart"/>
      <w:r>
        <w:rPr>
          <w:i/>
          <w:color w:val="5F5F5F"/>
          <w:sz w:val="15"/>
        </w:rPr>
        <w:t>DCF(</w:t>
      </w:r>
      <w:proofErr w:type="gramEnd"/>
      <w:r>
        <w:rPr>
          <w:i/>
          <w:color w:val="5F5F5F"/>
          <w:sz w:val="15"/>
        </w:rPr>
        <w:t>4).xlsx, Valuation, unlevered free cash flow and DCF outputs; USD millions unless otherwise stated.</w:t>
      </w:r>
    </w:p>
    <w:p w14:paraId="4F953367" w14:textId="77777777" w:rsidR="00A70B77" w:rsidRDefault="00A70B77"/>
    <w:p w14:paraId="05C43950" w14:textId="77777777" w:rsidR="001B33B0" w:rsidRPr="001B33B0" w:rsidRDefault="001B33B0" w:rsidP="001B33B0">
      <w:pPr>
        <w:spacing w:after="0" w:line="240" w:lineRule="auto"/>
        <w:rPr>
          <w:rFonts w:eastAsia="Times New Roman" w:cs="Arial"/>
          <w:b/>
          <w:bCs/>
          <w:color w:val="8064A2"/>
          <w:sz w:val="20"/>
          <w:szCs w:val="20"/>
        </w:rPr>
      </w:pPr>
      <w:r w:rsidRPr="001B33B0">
        <w:rPr>
          <w:rFonts w:eastAsia="Times New Roman" w:cs="Arial"/>
          <w:b/>
          <w:bCs/>
          <w:color w:val="8064A2"/>
          <w:sz w:val="20"/>
          <w:szCs w:val="20"/>
        </w:rPr>
        <w:lastRenderedPageBreak/>
        <w:t>Sensitivity Analysis</w:t>
      </w:r>
    </w:p>
    <w:p w14:paraId="53D76DEE" w14:textId="77777777" w:rsidR="001B33B0" w:rsidRDefault="001B33B0"/>
    <w:tbl>
      <w:tblPr>
        <w:tblpPr w:leftFromText="180" w:rightFromText="180" w:vertAnchor="page" w:horzAnchor="margin" w:tblpY="2329"/>
        <w:tblW w:w="7348" w:type="dxa"/>
        <w:tblLook w:val="04A0" w:firstRow="1" w:lastRow="0" w:firstColumn="1" w:lastColumn="0" w:noHBand="0" w:noVBand="1"/>
      </w:tblPr>
      <w:tblGrid>
        <w:gridCol w:w="1616"/>
        <w:gridCol w:w="1876"/>
        <w:gridCol w:w="964"/>
        <w:gridCol w:w="964"/>
        <w:gridCol w:w="964"/>
        <w:gridCol w:w="964"/>
      </w:tblGrid>
      <w:tr w:rsidR="00A70B77" w:rsidRPr="001B33B0" w14:paraId="700656BB" w14:textId="77777777" w:rsidTr="00A70B77">
        <w:trPr>
          <w:trHeight w:val="288"/>
        </w:trPr>
        <w:tc>
          <w:tcPr>
            <w:tcW w:w="1616" w:type="dxa"/>
            <w:tcBorders>
              <w:top w:val="nil"/>
              <w:left w:val="nil"/>
              <w:bottom w:val="nil"/>
              <w:right w:val="nil"/>
            </w:tcBorders>
            <w:noWrap/>
            <w:vAlign w:val="bottom"/>
            <w:hideMark/>
          </w:tcPr>
          <w:p w14:paraId="6F201F3D" w14:textId="77777777" w:rsidR="00A70B77" w:rsidRPr="001B33B0" w:rsidRDefault="00A70B77" w:rsidP="00A70B77">
            <w:pPr>
              <w:spacing w:after="0" w:line="240" w:lineRule="auto"/>
              <w:rPr>
                <w:rFonts w:ascii="Times New Roman" w:eastAsia="Times New Roman" w:hAnsi="Times New Roman" w:cs="Times New Roman"/>
                <w:sz w:val="20"/>
                <w:szCs w:val="24"/>
              </w:rPr>
            </w:pPr>
          </w:p>
        </w:tc>
        <w:tc>
          <w:tcPr>
            <w:tcW w:w="1876" w:type="dxa"/>
            <w:tcBorders>
              <w:top w:val="nil"/>
              <w:left w:val="nil"/>
              <w:bottom w:val="nil"/>
              <w:right w:val="nil"/>
            </w:tcBorders>
            <w:noWrap/>
            <w:vAlign w:val="bottom"/>
            <w:hideMark/>
          </w:tcPr>
          <w:p w14:paraId="3E5B4F50"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3856" w:type="dxa"/>
            <w:gridSpan w:val="4"/>
            <w:tcBorders>
              <w:top w:val="nil"/>
              <w:left w:val="nil"/>
              <w:bottom w:val="nil"/>
              <w:right w:val="nil"/>
            </w:tcBorders>
            <w:noWrap/>
            <w:hideMark/>
          </w:tcPr>
          <w:p w14:paraId="4FFE761F" w14:textId="77777777" w:rsidR="00A70B77" w:rsidRPr="001B33B0" w:rsidRDefault="00A70B77" w:rsidP="00A70B77">
            <w:pPr>
              <w:spacing w:after="0" w:line="240" w:lineRule="auto"/>
              <w:rPr>
                <w:rFonts w:eastAsia="Times New Roman" w:cs="Arial"/>
                <w:b/>
                <w:bCs/>
                <w:color w:val="8064A2"/>
                <w:sz w:val="20"/>
                <w:szCs w:val="20"/>
              </w:rPr>
            </w:pPr>
            <w:r w:rsidRPr="001B33B0">
              <w:rPr>
                <w:rFonts w:eastAsia="Times New Roman" w:cs="Arial"/>
                <w:b/>
                <w:bCs/>
                <w:color w:val="8064A2"/>
                <w:sz w:val="20"/>
                <w:szCs w:val="20"/>
              </w:rPr>
              <w:t>EBITDA Exit Multiple Method</w:t>
            </w:r>
          </w:p>
        </w:tc>
      </w:tr>
      <w:tr w:rsidR="00A70B77" w:rsidRPr="001B33B0" w14:paraId="1462BD5A" w14:textId="77777777" w:rsidTr="00A70B77">
        <w:trPr>
          <w:trHeight w:val="288"/>
        </w:trPr>
        <w:tc>
          <w:tcPr>
            <w:tcW w:w="1616" w:type="dxa"/>
            <w:tcBorders>
              <w:top w:val="nil"/>
              <w:left w:val="nil"/>
              <w:bottom w:val="nil"/>
              <w:right w:val="nil"/>
            </w:tcBorders>
            <w:noWrap/>
            <w:vAlign w:val="bottom"/>
            <w:hideMark/>
          </w:tcPr>
          <w:p w14:paraId="3E3A2B1C" w14:textId="77777777" w:rsidR="00A70B77" w:rsidRPr="001B33B0" w:rsidRDefault="00A70B77" w:rsidP="00A70B77">
            <w:pPr>
              <w:spacing w:after="0" w:line="240" w:lineRule="auto"/>
              <w:jc w:val="right"/>
              <w:rPr>
                <w:rFonts w:eastAsia="Times New Roman" w:cs="Arial"/>
                <w:b/>
                <w:bCs/>
                <w:color w:val="000000"/>
                <w:sz w:val="20"/>
                <w:szCs w:val="20"/>
              </w:rPr>
            </w:pPr>
            <w:r w:rsidRPr="001B33B0">
              <w:rPr>
                <w:rFonts w:eastAsia="Times New Roman" w:cs="Arial"/>
                <w:b/>
                <w:bCs/>
                <w:color w:val="000000"/>
                <w:sz w:val="20"/>
                <w:szCs w:val="20"/>
              </w:rPr>
              <w:t>$317.79</w:t>
            </w:r>
          </w:p>
        </w:tc>
        <w:tc>
          <w:tcPr>
            <w:tcW w:w="1876" w:type="dxa"/>
            <w:tcBorders>
              <w:top w:val="nil"/>
              <w:left w:val="nil"/>
              <w:bottom w:val="nil"/>
              <w:right w:val="nil"/>
            </w:tcBorders>
            <w:noWrap/>
            <w:vAlign w:val="bottom"/>
            <w:hideMark/>
          </w:tcPr>
          <w:p w14:paraId="5894AFA8"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19.4x</w:t>
            </w:r>
          </w:p>
        </w:tc>
        <w:tc>
          <w:tcPr>
            <w:tcW w:w="964" w:type="dxa"/>
            <w:tcBorders>
              <w:top w:val="nil"/>
              <w:left w:val="nil"/>
              <w:bottom w:val="nil"/>
              <w:right w:val="nil"/>
            </w:tcBorders>
            <w:noWrap/>
            <w:vAlign w:val="bottom"/>
            <w:hideMark/>
          </w:tcPr>
          <w:p w14:paraId="5B239BBE"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24.4x</w:t>
            </w:r>
          </w:p>
        </w:tc>
        <w:tc>
          <w:tcPr>
            <w:tcW w:w="964" w:type="dxa"/>
            <w:tcBorders>
              <w:top w:val="nil"/>
              <w:left w:val="nil"/>
              <w:bottom w:val="nil"/>
              <w:right w:val="nil"/>
            </w:tcBorders>
            <w:noWrap/>
            <w:vAlign w:val="bottom"/>
            <w:hideMark/>
          </w:tcPr>
          <w:p w14:paraId="001AAE74"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29.4x</w:t>
            </w:r>
          </w:p>
        </w:tc>
        <w:tc>
          <w:tcPr>
            <w:tcW w:w="964" w:type="dxa"/>
            <w:tcBorders>
              <w:top w:val="nil"/>
              <w:left w:val="nil"/>
              <w:bottom w:val="nil"/>
              <w:right w:val="nil"/>
            </w:tcBorders>
            <w:noWrap/>
            <w:vAlign w:val="bottom"/>
            <w:hideMark/>
          </w:tcPr>
          <w:p w14:paraId="1AA3573C"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34.4x</w:t>
            </w:r>
          </w:p>
        </w:tc>
        <w:tc>
          <w:tcPr>
            <w:tcW w:w="964" w:type="dxa"/>
            <w:tcBorders>
              <w:top w:val="nil"/>
              <w:left w:val="nil"/>
              <w:bottom w:val="nil"/>
              <w:right w:val="nil"/>
            </w:tcBorders>
            <w:noWrap/>
            <w:vAlign w:val="bottom"/>
            <w:hideMark/>
          </w:tcPr>
          <w:p w14:paraId="07564A08"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39.4x</w:t>
            </w:r>
          </w:p>
        </w:tc>
      </w:tr>
      <w:tr w:rsidR="00A70B77" w:rsidRPr="001B33B0" w14:paraId="19C4DA5D" w14:textId="77777777" w:rsidTr="00A70B77">
        <w:trPr>
          <w:trHeight w:val="288"/>
        </w:trPr>
        <w:tc>
          <w:tcPr>
            <w:tcW w:w="1616" w:type="dxa"/>
            <w:tcBorders>
              <w:top w:val="nil"/>
              <w:left w:val="nil"/>
              <w:bottom w:val="nil"/>
              <w:right w:val="nil"/>
            </w:tcBorders>
            <w:noWrap/>
            <w:vAlign w:val="bottom"/>
            <w:hideMark/>
          </w:tcPr>
          <w:p w14:paraId="2B06E451"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8.08%</w:t>
            </w:r>
          </w:p>
        </w:tc>
        <w:tc>
          <w:tcPr>
            <w:tcW w:w="1876" w:type="dxa"/>
            <w:tcBorders>
              <w:top w:val="single" w:sz="4" w:space="0" w:color="auto"/>
              <w:left w:val="single" w:sz="4" w:space="0" w:color="auto"/>
              <w:bottom w:val="nil"/>
              <w:right w:val="nil"/>
            </w:tcBorders>
            <w:noWrap/>
            <w:vAlign w:val="bottom"/>
            <w:hideMark/>
          </w:tcPr>
          <w:p w14:paraId="4271D36B"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$243.35</w:t>
            </w:r>
          </w:p>
        </w:tc>
        <w:tc>
          <w:tcPr>
            <w:tcW w:w="964" w:type="dxa"/>
            <w:tcBorders>
              <w:top w:val="single" w:sz="4" w:space="0" w:color="auto"/>
              <w:left w:val="nil"/>
              <w:bottom w:val="nil"/>
              <w:right w:val="nil"/>
            </w:tcBorders>
            <w:noWrap/>
            <w:vAlign w:val="bottom"/>
            <w:hideMark/>
          </w:tcPr>
          <w:p w14:paraId="23C893AD"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$294.95</w:t>
            </w:r>
          </w:p>
        </w:tc>
        <w:tc>
          <w:tcPr>
            <w:tcW w:w="964" w:type="dxa"/>
            <w:tcBorders>
              <w:top w:val="single" w:sz="4" w:space="0" w:color="auto"/>
              <w:left w:val="nil"/>
              <w:bottom w:val="nil"/>
              <w:right w:val="nil"/>
            </w:tcBorders>
            <w:noWrap/>
            <w:vAlign w:val="bottom"/>
            <w:hideMark/>
          </w:tcPr>
          <w:p w14:paraId="60D62B96"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$346.55</w:t>
            </w:r>
          </w:p>
        </w:tc>
        <w:tc>
          <w:tcPr>
            <w:tcW w:w="964" w:type="dxa"/>
            <w:tcBorders>
              <w:top w:val="single" w:sz="4" w:space="0" w:color="auto"/>
              <w:left w:val="nil"/>
              <w:bottom w:val="nil"/>
              <w:right w:val="nil"/>
            </w:tcBorders>
            <w:noWrap/>
            <w:vAlign w:val="bottom"/>
            <w:hideMark/>
          </w:tcPr>
          <w:p w14:paraId="13530E3C"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$398.15</w:t>
            </w:r>
          </w:p>
        </w:tc>
        <w:tc>
          <w:tcPr>
            <w:tcW w:w="964" w:type="dxa"/>
            <w:tcBorders>
              <w:top w:val="single" w:sz="4" w:space="0" w:color="auto"/>
              <w:left w:val="nil"/>
              <w:bottom w:val="nil"/>
              <w:right w:val="nil"/>
            </w:tcBorders>
            <w:noWrap/>
            <w:vAlign w:val="bottom"/>
            <w:hideMark/>
          </w:tcPr>
          <w:p w14:paraId="7455C71F"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$449.75</w:t>
            </w:r>
          </w:p>
        </w:tc>
      </w:tr>
      <w:tr w:rsidR="00A70B77" w:rsidRPr="001B33B0" w14:paraId="08BC5BDB" w14:textId="77777777" w:rsidTr="00A70B77">
        <w:trPr>
          <w:trHeight w:val="288"/>
        </w:trPr>
        <w:tc>
          <w:tcPr>
            <w:tcW w:w="1616" w:type="dxa"/>
            <w:tcBorders>
              <w:top w:val="nil"/>
              <w:left w:val="nil"/>
              <w:bottom w:val="nil"/>
              <w:right w:val="nil"/>
            </w:tcBorders>
            <w:noWrap/>
            <w:vAlign w:val="bottom"/>
            <w:hideMark/>
          </w:tcPr>
          <w:p w14:paraId="2FF9DD0E"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9.08%</w:t>
            </w:r>
          </w:p>
        </w:tc>
        <w:tc>
          <w:tcPr>
            <w:tcW w:w="1876" w:type="dxa"/>
            <w:tcBorders>
              <w:top w:val="nil"/>
              <w:left w:val="single" w:sz="4" w:space="0" w:color="auto"/>
              <w:bottom w:val="nil"/>
              <w:right w:val="nil"/>
            </w:tcBorders>
            <w:noWrap/>
            <w:vAlign w:val="bottom"/>
            <w:hideMark/>
          </w:tcPr>
          <w:p w14:paraId="1FA22F90"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$233.22</w:t>
            </w:r>
          </w:p>
        </w:tc>
        <w:tc>
          <w:tcPr>
            <w:tcW w:w="964" w:type="dxa"/>
            <w:tcBorders>
              <w:top w:val="nil"/>
              <w:left w:val="nil"/>
              <w:bottom w:val="nil"/>
              <w:right w:val="nil"/>
            </w:tcBorders>
            <w:shd w:val="clear" w:color="000000" w:fill="E4DFEC"/>
            <w:noWrap/>
            <w:vAlign w:val="bottom"/>
            <w:hideMark/>
          </w:tcPr>
          <w:p w14:paraId="2C077A1C"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$282.50</w:t>
            </w:r>
          </w:p>
        </w:tc>
        <w:tc>
          <w:tcPr>
            <w:tcW w:w="964" w:type="dxa"/>
            <w:tcBorders>
              <w:top w:val="nil"/>
              <w:left w:val="nil"/>
              <w:bottom w:val="nil"/>
              <w:right w:val="nil"/>
            </w:tcBorders>
            <w:shd w:val="clear" w:color="000000" w:fill="E4DFEC"/>
            <w:noWrap/>
            <w:vAlign w:val="bottom"/>
            <w:hideMark/>
          </w:tcPr>
          <w:p w14:paraId="35E452FF"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$331.78</w:t>
            </w:r>
          </w:p>
        </w:tc>
        <w:tc>
          <w:tcPr>
            <w:tcW w:w="964" w:type="dxa"/>
            <w:tcBorders>
              <w:top w:val="nil"/>
              <w:left w:val="nil"/>
              <w:bottom w:val="nil"/>
              <w:right w:val="nil"/>
            </w:tcBorders>
            <w:shd w:val="clear" w:color="000000" w:fill="E4DFEC"/>
            <w:noWrap/>
            <w:vAlign w:val="bottom"/>
            <w:hideMark/>
          </w:tcPr>
          <w:p w14:paraId="1350DDC7"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$381.06</w:t>
            </w:r>
          </w:p>
        </w:tc>
        <w:tc>
          <w:tcPr>
            <w:tcW w:w="964" w:type="dxa"/>
            <w:tcBorders>
              <w:top w:val="nil"/>
              <w:left w:val="nil"/>
              <w:bottom w:val="nil"/>
              <w:right w:val="nil"/>
            </w:tcBorders>
            <w:noWrap/>
            <w:vAlign w:val="bottom"/>
            <w:hideMark/>
          </w:tcPr>
          <w:p w14:paraId="2058C64E"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$430.34</w:t>
            </w:r>
          </w:p>
        </w:tc>
      </w:tr>
      <w:tr w:rsidR="00A70B77" w:rsidRPr="001B33B0" w14:paraId="30D6972A" w14:textId="77777777" w:rsidTr="00A70B77">
        <w:trPr>
          <w:trHeight w:val="288"/>
        </w:trPr>
        <w:tc>
          <w:tcPr>
            <w:tcW w:w="1616" w:type="dxa"/>
            <w:tcBorders>
              <w:top w:val="nil"/>
              <w:left w:val="nil"/>
              <w:bottom w:val="nil"/>
              <w:right w:val="nil"/>
            </w:tcBorders>
            <w:noWrap/>
            <w:vAlign w:val="bottom"/>
            <w:hideMark/>
          </w:tcPr>
          <w:p w14:paraId="3D1C98E8"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10.08%</w:t>
            </w:r>
          </w:p>
        </w:tc>
        <w:tc>
          <w:tcPr>
            <w:tcW w:w="1876" w:type="dxa"/>
            <w:tcBorders>
              <w:top w:val="nil"/>
              <w:left w:val="single" w:sz="4" w:space="0" w:color="auto"/>
              <w:bottom w:val="nil"/>
              <w:right w:val="nil"/>
            </w:tcBorders>
            <w:noWrap/>
            <w:vAlign w:val="bottom"/>
            <w:hideMark/>
          </w:tcPr>
          <w:p w14:paraId="0D22C68A"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$223.62</w:t>
            </w:r>
          </w:p>
        </w:tc>
        <w:tc>
          <w:tcPr>
            <w:tcW w:w="964" w:type="dxa"/>
            <w:tcBorders>
              <w:top w:val="nil"/>
              <w:left w:val="nil"/>
              <w:bottom w:val="nil"/>
              <w:right w:val="nil"/>
            </w:tcBorders>
            <w:shd w:val="clear" w:color="000000" w:fill="E4DFEC"/>
            <w:noWrap/>
            <w:vAlign w:val="bottom"/>
            <w:hideMark/>
          </w:tcPr>
          <w:p w14:paraId="0A274FD6"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$270.71</w:t>
            </w:r>
          </w:p>
        </w:tc>
        <w:tc>
          <w:tcPr>
            <w:tcW w:w="964" w:type="dxa"/>
            <w:tcBorders>
              <w:top w:val="nil"/>
              <w:left w:val="nil"/>
              <w:bottom w:val="nil"/>
              <w:right w:val="nil"/>
            </w:tcBorders>
            <w:shd w:val="clear" w:color="FFFF00" w:fill="B1A0C7"/>
            <w:noWrap/>
            <w:vAlign w:val="bottom"/>
            <w:hideMark/>
          </w:tcPr>
          <w:p w14:paraId="212E84F5"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$317.79</w:t>
            </w:r>
          </w:p>
        </w:tc>
        <w:tc>
          <w:tcPr>
            <w:tcW w:w="964" w:type="dxa"/>
            <w:tcBorders>
              <w:top w:val="nil"/>
              <w:left w:val="nil"/>
              <w:bottom w:val="nil"/>
              <w:right w:val="nil"/>
            </w:tcBorders>
            <w:shd w:val="clear" w:color="000000" w:fill="E4DFEC"/>
            <w:noWrap/>
            <w:vAlign w:val="bottom"/>
            <w:hideMark/>
          </w:tcPr>
          <w:p w14:paraId="10AF7809"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$364.87</w:t>
            </w:r>
          </w:p>
        </w:tc>
        <w:tc>
          <w:tcPr>
            <w:tcW w:w="964" w:type="dxa"/>
            <w:tcBorders>
              <w:top w:val="nil"/>
              <w:left w:val="nil"/>
              <w:bottom w:val="nil"/>
              <w:right w:val="nil"/>
            </w:tcBorders>
            <w:noWrap/>
            <w:vAlign w:val="bottom"/>
            <w:hideMark/>
          </w:tcPr>
          <w:p w14:paraId="369C9A42"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$411.95</w:t>
            </w:r>
          </w:p>
        </w:tc>
      </w:tr>
      <w:tr w:rsidR="00A70B77" w:rsidRPr="001B33B0" w14:paraId="62B5B0A1" w14:textId="77777777" w:rsidTr="00A70B77">
        <w:trPr>
          <w:trHeight w:val="288"/>
        </w:trPr>
        <w:tc>
          <w:tcPr>
            <w:tcW w:w="1616" w:type="dxa"/>
            <w:tcBorders>
              <w:top w:val="nil"/>
              <w:left w:val="nil"/>
              <w:bottom w:val="nil"/>
              <w:right w:val="nil"/>
            </w:tcBorders>
            <w:noWrap/>
            <w:vAlign w:val="bottom"/>
            <w:hideMark/>
          </w:tcPr>
          <w:p w14:paraId="33720126"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11.08%</w:t>
            </w:r>
          </w:p>
        </w:tc>
        <w:tc>
          <w:tcPr>
            <w:tcW w:w="1876" w:type="dxa"/>
            <w:tcBorders>
              <w:top w:val="nil"/>
              <w:left w:val="single" w:sz="4" w:space="0" w:color="auto"/>
              <w:bottom w:val="nil"/>
              <w:right w:val="nil"/>
            </w:tcBorders>
            <w:noWrap/>
            <w:vAlign w:val="bottom"/>
            <w:hideMark/>
          </w:tcPr>
          <w:p w14:paraId="37A2CEF2"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$214.52</w:t>
            </w:r>
          </w:p>
        </w:tc>
        <w:tc>
          <w:tcPr>
            <w:tcW w:w="964" w:type="dxa"/>
            <w:tcBorders>
              <w:top w:val="nil"/>
              <w:left w:val="nil"/>
              <w:bottom w:val="nil"/>
              <w:right w:val="nil"/>
            </w:tcBorders>
            <w:shd w:val="clear" w:color="000000" w:fill="E4DFEC"/>
            <w:noWrap/>
            <w:vAlign w:val="bottom"/>
            <w:hideMark/>
          </w:tcPr>
          <w:p w14:paraId="7BE9DFF8"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$259.52</w:t>
            </w:r>
          </w:p>
        </w:tc>
        <w:tc>
          <w:tcPr>
            <w:tcW w:w="964" w:type="dxa"/>
            <w:tcBorders>
              <w:top w:val="nil"/>
              <w:left w:val="nil"/>
              <w:bottom w:val="nil"/>
              <w:right w:val="nil"/>
            </w:tcBorders>
            <w:shd w:val="clear" w:color="000000" w:fill="E4DFEC"/>
            <w:noWrap/>
            <w:vAlign w:val="bottom"/>
            <w:hideMark/>
          </w:tcPr>
          <w:p w14:paraId="564226ED"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$304.52</w:t>
            </w:r>
          </w:p>
        </w:tc>
        <w:tc>
          <w:tcPr>
            <w:tcW w:w="964" w:type="dxa"/>
            <w:tcBorders>
              <w:top w:val="nil"/>
              <w:left w:val="nil"/>
              <w:bottom w:val="nil"/>
              <w:right w:val="nil"/>
            </w:tcBorders>
            <w:shd w:val="clear" w:color="000000" w:fill="E4DFEC"/>
            <w:noWrap/>
            <w:vAlign w:val="bottom"/>
            <w:hideMark/>
          </w:tcPr>
          <w:p w14:paraId="42DC396D"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$349.52</w:t>
            </w:r>
          </w:p>
        </w:tc>
        <w:tc>
          <w:tcPr>
            <w:tcW w:w="964" w:type="dxa"/>
            <w:tcBorders>
              <w:top w:val="nil"/>
              <w:left w:val="nil"/>
              <w:bottom w:val="nil"/>
              <w:right w:val="nil"/>
            </w:tcBorders>
            <w:noWrap/>
            <w:vAlign w:val="bottom"/>
            <w:hideMark/>
          </w:tcPr>
          <w:p w14:paraId="1593D095"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$394.52</w:t>
            </w:r>
          </w:p>
        </w:tc>
      </w:tr>
      <w:tr w:rsidR="00A70B77" w:rsidRPr="001B33B0" w14:paraId="157F3603" w14:textId="77777777" w:rsidTr="00A70B77">
        <w:trPr>
          <w:trHeight w:val="288"/>
        </w:trPr>
        <w:tc>
          <w:tcPr>
            <w:tcW w:w="1616" w:type="dxa"/>
            <w:tcBorders>
              <w:top w:val="nil"/>
              <w:left w:val="nil"/>
              <w:bottom w:val="nil"/>
              <w:right w:val="nil"/>
            </w:tcBorders>
            <w:noWrap/>
            <w:vAlign w:val="bottom"/>
            <w:hideMark/>
          </w:tcPr>
          <w:p w14:paraId="6F45FBC8"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12.08%</w:t>
            </w:r>
          </w:p>
        </w:tc>
        <w:tc>
          <w:tcPr>
            <w:tcW w:w="1876" w:type="dxa"/>
            <w:tcBorders>
              <w:top w:val="nil"/>
              <w:left w:val="single" w:sz="4" w:space="0" w:color="auto"/>
              <w:bottom w:val="nil"/>
              <w:right w:val="nil"/>
            </w:tcBorders>
            <w:noWrap/>
            <w:vAlign w:val="bottom"/>
            <w:hideMark/>
          </w:tcPr>
          <w:p w14:paraId="6AD92C0D"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$205.89</w:t>
            </w:r>
          </w:p>
        </w:tc>
        <w:tc>
          <w:tcPr>
            <w:tcW w:w="964" w:type="dxa"/>
            <w:tcBorders>
              <w:top w:val="nil"/>
              <w:left w:val="nil"/>
              <w:bottom w:val="nil"/>
              <w:right w:val="nil"/>
            </w:tcBorders>
            <w:noWrap/>
            <w:vAlign w:val="bottom"/>
            <w:hideMark/>
          </w:tcPr>
          <w:p w14:paraId="287BED6E"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$248.92</w:t>
            </w:r>
          </w:p>
        </w:tc>
        <w:tc>
          <w:tcPr>
            <w:tcW w:w="964" w:type="dxa"/>
            <w:tcBorders>
              <w:top w:val="nil"/>
              <w:left w:val="nil"/>
              <w:bottom w:val="nil"/>
              <w:right w:val="nil"/>
            </w:tcBorders>
            <w:noWrap/>
            <w:vAlign w:val="bottom"/>
            <w:hideMark/>
          </w:tcPr>
          <w:p w14:paraId="35504E6F"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$291.95</w:t>
            </w:r>
          </w:p>
        </w:tc>
        <w:tc>
          <w:tcPr>
            <w:tcW w:w="964" w:type="dxa"/>
            <w:tcBorders>
              <w:top w:val="nil"/>
              <w:left w:val="nil"/>
              <w:bottom w:val="nil"/>
              <w:right w:val="nil"/>
            </w:tcBorders>
            <w:noWrap/>
            <w:vAlign w:val="bottom"/>
            <w:hideMark/>
          </w:tcPr>
          <w:p w14:paraId="64DDB803"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$334.97</w:t>
            </w:r>
          </w:p>
        </w:tc>
        <w:tc>
          <w:tcPr>
            <w:tcW w:w="964" w:type="dxa"/>
            <w:tcBorders>
              <w:top w:val="nil"/>
              <w:left w:val="nil"/>
              <w:bottom w:val="nil"/>
              <w:right w:val="nil"/>
            </w:tcBorders>
            <w:noWrap/>
            <w:vAlign w:val="bottom"/>
            <w:hideMark/>
          </w:tcPr>
          <w:p w14:paraId="28E93411"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$378.00</w:t>
            </w:r>
          </w:p>
        </w:tc>
      </w:tr>
      <w:tr w:rsidR="00A70B77" w:rsidRPr="001B33B0" w14:paraId="3371DB5C" w14:textId="77777777" w:rsidTr="00A70B77">
        <w:trPr>
          <w:trHeight w:val="288"/>
        </w:trPr>
        <w:tc>
          <w:tcPr>
            <w:tcW w:w="1616" w:type="dxa"/>
            <w:tcBorders>
              <w:top w:val="nil"/>
              <w:left w:val="nil"/>
              <w:bottom w:val="nil"/>
              <w:right w:val="nil"/>
            </w:tcBorders>
            <w:noWrap/>
            <w:vAlign w:val="bottom"/>
            <w:hideMark/>
          </w:tcPr>
          <w:p w14:paraId="4C47CFA8" w14:textId="77777777" w:rsidR="00A70B77" w:rsidRPr="001B33B0" w:rsidRDefault="00A70B77" w:rsidP="00A70B77">
            <w:pPr>
              <w:spacing w:after="0" w:line="240" w:lineRule="auto"/>
              <w:jc w:val="right"/>
              <w:rPr>
                <w:rFonts w:eastAsia="Times New Roman" w:cs="Arial"/>
                <w:color w:val="000000"/>
                <w:sz w:val="20"/>
                <w:szCs w:val="20"/>
              </w:rPr>
            </w:pPr>
          </w:p>
        </w:tc>
        <w:tc>
          <w:tcPr>
            <w:tcW w:w="1876" w:type="dxa"/>
            <w:tcBorders>
              <w:top w:val="nil"/>
              <w:left w:val="nil"/>
              <w:bottom w:val="nil"/>
              <w:right w:val="nil"/>
            </w:tcBorders>
            <w:noWrap/>
            <w:vAlign w:val="bottom"/>
            <w:hideMark/>
          </w:tcPr>
          <w:p w14:paraId="79F62D34"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964" w:type="dxa"/>
            <w:tcBorders>
              <w:top w:val="nil"/>
              <w:left w:val="nil"/>
              <w:bottom w:val="nil"/>
              <w:right w:val="nil"/>
            </w:tcBorders>
            <w:noWrap/>
            <w:vAlign w:val="bottom"/>
            <w:hideMark/>
          </w:tcPr>
          <w:p w14:paraId="74312789"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964" w:type="dxa"/>
            <w:tcBorders>
              <w:top w:val="nil"/>
              <w:left w:val="nil"/>
              <w:bottom w:val="nil"/>
              <w:right w:val="nil"/>
            </w:tcBorders>
            <w:noWrap/>
            <w:vAlign w:val="bottom"/>
            <w:hideMark/>
          </w:tcPr>
          <w:p w14:paraId="1CC6B885"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964" w:type="dxa"/>
            <w:tcBorders>
              <w:top w:val="nil"/>
              <w:left w:val="nil"/>
              <w:bottom w:val="nil"/>
              <w:right w:val="nil"/>
            </w:tcBorders>
            <w:noWrap/>
            <w:vAlign w:val="bottom"/>
            <w:hideMark/>
          </w:tcPr>
          <w:p w14:paraId="0EA182A3"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964" w:type="dxa"/>
            <w:tcBorders>
              <w:top w:val="nil"/>
              <w:left w:val="nil"/>
              <w:bottom w:val="nil"/>
              <w:right w:val="nil"/>
            </w:tcBorders>
            <w:noWrap/>
            <w:vAlign w:val="bottom"/>
            <w:hideMark/>
          </w:tcPr>
          <w:p w14:paraId="651D6328" w14:textId="77777777" w:rsidR="00A70B77" w:rsidRPr="001B33B0" w:rsidRDefault="00A70B77" w:rsidP="00A70B77">
            <w:pPr>
              <w:spacing w:after="0" w:line="240" w:lineRule="auto"/>
              <w:rPr>
                <w:rFonts w:ascii="Times New Roman" w:eastAsia="Times New Roman" w:hAnsi="Times New Roman" w:cs="Times New Roman"/>
                <w:sz w:val="20"/>
                <w:szCs w:val="20"/>
              </w:rPr>
            </w:pPr>
          </w:p>
        </w:tc>
      </w:tr>
      <w:tr w:rsidR="00A70B77" w:rsidRPr="001B33B0" w14:paraId="019094E6" w14:textId="77777777" w:rsidTr="00A70B77">
        <w:trPr>
          <w:trHeight w:val="288"/>
        </w:trPr>
        <w:tc>
          <w:tcPr>
            <w:tcW w:w="1616" w:type="dxa"/>
            <w:tcBorders>
              <w:top w:val="nil"/>
              <w:left w:val="nil"/>
              <w:bottom w:val="nil"/>
              <w:right w:val="nil"/>
            </w:tcBorders>
            <w:noWrap/>
            <w:vAlign w:val="bottom"/>
            <w:hideMark/>
          </w:tcPr>
          <w:p w14:paraId="31F92C7E"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876" w:type="dxa"/>
            <w:tcBorders>
              <w:top w:val="nil"/>
              <w:left w:val="nil"/>
              <w:bottom w:val="nil"/>
              <w:right w:val="nil"/>
            </w:tcBorders>
            <w:noWrap/>
            <w:vAlign w:val="bottom"/>
            <w:hideMark/>
          </w:tcPr>
          <w:p w14:paraId="3F2CAFF8"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964" w:type="dxa"/>
            <w:tcBorders>
              <w:top w:val="nil"/>
              <w:left w:val="nil"/>
              <w:bottom w:val="nil"/>
              <w:right w:val="nil"/>
            </w:tcBorders>
            <w:noWrap/>
            <w:vAlign w:val="bottom"/>
            <w:hideMark/>
          </w:tcPr>
          <w:p w14:paraId="3067A0E6"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964" w:type="dxa"/>
            <w:tcBorders>
              <w:top w:val="nil"/>
              <w:left w:val="nil"/>
              <w:bottom w:val="nil"/>
              <w:right w:val="nil"/>
            </w:tcBorders>
            <w:noWrap/>
            <w:vAlign w:val="bottom"/>
            <w:hideMark/>
          </w:tcPr>
          <w:p w14:paraId="12946F4C"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964" w:type="dxa"/>
            <w:tcBorders>
              <w:top w:val="nil"/>
              <w:left w:val="nil"/>
              <w:bottom w:val="nil"/>
              <w:right w:val="nil"/>
            </w:tcBorders>
            <w:noWrap/>
            <w:vAlign w:val="bottom"/>
            <w:hideMark/>
          </w:tcPr>
          <w:p w14:paraId="637E84FC"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964" w:type="dxa"/>
            <w:tcBorders>
              <w:top w:val="nil"/>
              <w:left w:val="nil"/>
              <w:bottom w:val="nil"/>
              <w:right w:val="nil"/>
            </w:tcBorders>
            <w:noWrap/>
            <w:vAlign w:val="bottom"/>
            <w:hideMark/>
          </w:tcPr>
          <w:p w14:paraId="07C0913D" w14:textId="77777777" w:rsidR="00A70B77" w:rsidRPr="001B33B0" w:rsidRDefault="00A70B77" w:rsidP="00A70B77">
            <w:pPr>
              <w:spacing w:after="0" w:line="240" w:lineRule="auto"/>
              <w:rPr>
                <w:rFonts w:ascii="Times New Roman" w:eastAsia="Times New Roman" w:hAnsi="Times New Roman" w:cs="Times New Roman"/>
                <w:sz w:val="20"/>
                <w:szCs w:val="20"/>
              </w:rPr>
            </w:pPr>
          </w:p>
        </w:tc>
      </w:tr>
      <w:tr w:rsidR="00A70B77" w:rsidRPr="001B33B0" w14:paraId="5A9DF807" w14:textId="77777777" w:rsidTr="00A70B77">
        <w:trPr>
          <w:trHeight w:val="288"/>
        </w:trPr>
        <w:tc>
          <w:tcPr>
            <w:tcW w:w="1616" w:type="dxa"/>
            <w:tcBorders>
              <w:top w:val="nil"/>
              <w:left w:val="nil"/>
              <w:bottom w:val="nil"/>
              <w:right w:val="nil"/>
            </w:tcBorders>
            <w:noWrap/>
            <w:vAlign w:val="bottom"/>
            <w:hideMark/>
          </w:tcPr>
          <w:p w14:paraId="22ACF6D3"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1876" w:type="dxa"/>
            <w:tcBorders>
              <w:top w:val="nil"/>
              <w:left w:val="nil"/>
              <w:bottom w:val="nil"/>
              <w:right w:val="nil"/>
            </w:tcBorders>
            <w:noWrap/>
            <w:vAlign w:val="bottom"/>
            <w:hideMark/>
          </w:tcPr>
          <w:p w14:paraId="6085CA21" w14:textId="77777777" w:rsidR="00A70B77" w:rsidRPr="001B33B0" w:rsidRDefault="00A70B77" w:rsidP="00A70B77">
            <w:pPr>
              <w:spacing w:after="0" w:line="240" w:lineRule="auto"/>
              <w:rPr>
                <w:rFonts w:ascii="Times New Roman" w:eastAsia="Times New Roman" w:hAnsi="Times New Roman" w:cs="Times New Roman"/>
                <w:sz w:val="20"/>
                <w:szCs w:val="20"/>
              </w:rPr>
            </w:pPr>
          </w:p>
        </w:tc>
        <w:tc>
          <w:tcPr>
            <w:tcW w:w="3856" w:type="dxa"/>
            <w:gridSpan w:val="4"/>
            <w:tcBorders>
              <w:top w:val="nil"/>
              <w:left w:val="nil"/>
              <w:bottom w:val="nil"/>
              <w:right w:val="nil"/>
            </w:tcBorders>
            <w:noWrap/>
            <w:vAlign w:val="bottom"/>
            <w:hideMark/>
          </w:tcPr>
          <w:p w14:paraId="07A8324A" w14:textId="77777777" w:rsidR="00A70B77" w:rsidRPr="001B33B0" w:rsidRDefault="00A70B77" w:rsidP="00A70B77">
            <w:pPr>
              <w:spacing w:after="0" w:line="240" w:lineRule="auto"/>
              <w:rPr>
                <w:rFonts w:eastAsia="Times New Roman" w:cs="Arial"/>
                <w:b/>
                <w:bCs/>
                <w:color w:val="8064A2"/>
                <w:sz w:val="20"/>
                <w:szCs w:val="20"/>
              </w:rPr>
            </w:pPr>
            <w:r w:rsidRPr="001B33B0">
              <w:rPr>
                <w:rFonts w:eastAsia="Times New Roman" w:cs="Arial"/>
                <w:b/>
                <w:bCs/>
                <w:color w:val="8064A2"/>
                <w:sz w:val="20"/>
                <w:szCs w:val="20"/>
              </w:rPr>
              <w:t>Perpetuity Method</w:t>
            </w:r>
          </w:p>
        </w:tc>
      </w:tr>
      <w:tr w:rsidR="00A70B77" w:rsidRPr="001B33B0" w14:paraId="5C8F64EC" w14:textId="77777777" w:rsidTr="00A70B77">
        <w:trPr>
          <w:trHeight w:val="288"/>
        </w:trPr>
        <w:tc>
          <w:tcPr>
            <w:tcW w:w="1616" w:type="dxa"/>
            <w:tcBorders>
              <w:top w:val="nil"/>
              <w:left w:val="nil"/>
              <w:bottom w:val="nil"/>
              <w:right w:val="nil"/>
            </w:tcBorders>
            <w:noWrap/>
            <w:vAlign w:val="bottom"/>
            <w:hideMark/>
          </w:tcPr>
          <w:p w14:paraId="794118C1" w14:textId="77777777" w:rsidR="00A70B77" w:rsidRPr="001B33B0" w:rsidRDefault="00A70B77" w:rsidP="00A70B77">
            <w:pPr>
              <w:spacing w:after="0" w:line="240" w:lineRule="auto"/>
              <w:jc w:val="right"/>
              <w:rPr>
                <w:rFonts w:eastAsia="Times New Roman" w:cs="Arial"/>
                <w:b/>
                <w:bCs/>
                <w:color w:val="000000"/>
                <w:sz w:val="20"/>
                <w:szCs w:val="20"/>
              </w:rPr>
            </w:pPr>
            <w:r w:rsidRPr="001B33B0">
              <w:rPr>
                <w:rFonts w:eastAsia="Times New Roman" w:cs="Arial"/>
                <w:b/>
                <w:bCs/>
                <w:color w:val="000000"/>
                <w:sz w:val="20"/>
                <w:szCs w:val="20"/>
              </w:rPr>
              <w:t>$147.41</w:t>
            </w:r>
          </w:p>
        </w:tc>
        <w:tc>
          <w:tcPr>
            <w:tcW w:w="1876" w:type="dxa"/>
            <w:tcBorders>
              <w:top w:val="nil"/>
              <w:left w:val="nil"/>
              <w:bottom w:val="nil"/>
              <w:right w:val="nil"/>
            </w:tcBorders>
            <w:noWrap/>
            <w:vAlign w:val="bottom"/>
            <w:hideMark/>
          </w:tcPr>
          <w:p w14:paraId="515F99C0"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2.0%</w:t>
            </w:r>
          </w:p>
        </w:tc>
        <w:tc>
          <w:tcPr>
            <w:tcW w:w="964" w:type="dxa"/>
            <w:tcBorders>
              <w:top w:val="nil"/>
              <w:left w:val="nil"/>
              <w:bottom w:val="nil"/>
              <w:right w:val="nil"/>
            </w:tcBorders>
            <w:noWrap/>
            <w:vAlign w:val="bottom"/>
            <w:hideMark/>
          </w:tcPr>
          <w:p w14:paraId="5B9A3B7B"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2.5%</w:t>
            </w:r>
          </w:p>
        </w:tc>
        <w:tc>
          <w:tcPr>
            <w:tcW w:w="964" w:type="dxa"/>
            <w:tcBorders>
              <w:top w:val="nil"/>
              <w:left w:val="nil"/>
              <w:bottom w:val="nil"/>
              <w:right w:val="nil"/>
            </w:tcBorders>
            <w:noWrap/>
            <w:vAlign w:val="bottom"/>
            <w:hideMark/>
          </w:tcPr>
          <w:p w14:paraId="46E8CAA1"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3.0%</w:t>
            </w:r>
          </w:p>
        </w:tc>
        <w:tc>
          <w:tcPr>
            <w:tcW w:w="964" w:type="dxa"/>
            <w:tcBorders>
              <w:top w:val="nil"/>
              <w:left w:val="nil"/>
              <w:bottom w:val="nil"/>
              <w:right w:val="nil"/>
            </w:tcBorders>
            <w:noWrap/>
            <w:vAlign w:val="bottom"/>
            <w:hideMark/>
          </w:tcPr>
          <w:p w14:paraId="6BB2605F"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3.5%</w:t>
            </w:r>
          </w:p>
        </w:tc>
        <w:tc>
          <w:tcPr>
            <w:tcW w:w="964" w:type="dxa"/>
            <w:tcBorders>
              <w:top w:val="nil"/>
              <w:left w:val="nil"/>
              <w:bottom w:val="nil"/>
              <w:right w:val="nil"/>
            </w:tcBorders>
            <w:noWrap/>
            <w:vAlign w:val="bottom"/>
            <w:hideMark/>
          </w:tcPr>
          <w:p w14:paraId="35280D34"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4.0%</w:t>
            </w:r>
          </w:p>
        </w:tc>
      </w:tr>
      <w:tr w:rsidR="00A70B77" w:rsidRPr="001B33B0" w14:paraId="26062B1B" w14:textId="77777777" w:rsidTr="00A70B77">
        <w:trPr>
          <w:trHeight w:val="288"/>
        </w:trPr>
        <w:tc>
          <w:tcPr>
            <w:tcW w:w="1616" w:type="dxa"/>
            <w:tcBorders>
              <w:top w:val="nil"/>
              <w:left w:val="nil"/>
              <w:bottom w:val="nil"/>
              <w:right w:val="nil"/>
            </w:tcBorders>
            <w:noWrap/>
            <w:vAlign w:val="bottom"/>
            <w:hideMark/>
          </w:tcPr>
          <w:p w14:paraId="041F9432"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8.08%</w:t>
            </w:r>
          </w:p>
        </w:tc>
        <w:tc>
          <w:tcPr>
            <w:tcW w:w="1876" w:type="dxa"/>
            <w:tcBorders>
              <w:top w:val="single" w:sz="4" w:space="0" w:color="auto"/>
              <w:left w:val="single" w:sz="4" w:space="0" w:color="auto"/>
              <w:bottom w:val="nil"/>
              <w:right w:val="nil"/>
            </w:tcBorders>
            <w:noWrap/>
            <w:vAlign w:val="bottom"/>
            <w:hideMark/>
          </w:tcPr>
          <w:p w14:paraId="4A84E934"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$177.65</w:t>
            </w:r>
          </w:p>
        </w:tc>
        <w:tc>
          <w:tcPr>
            <w:tcW w:w="964" w:type="dxa"/>
            <w:tcBorders>
              <w:top w:val="single" w:sz="4" w:space="0" w:color="auto"/>
              <w:left w:val="nil"/>
              <w:bottom w:val="nil"/>
              <w:right w:val="nil"/>
            </w:tcBorders>
            <w:noWrap/>
            <w:vAlign w:val="bottom"/>
            <w:hideMark/>
          </w:tcPr>
          <w:p w14:paraId="67F33BB7"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$190.40</w:t>
            </w:r>
          </w:p>
        </w:tc>
        <w:tc>
          <w:tcPr>
            <w:tcW w:w="964" w:type="dxa"/>
            <w:tcBorders>
              <w:top w:val="single" w:sz="4" w:space="0" w:color="auto"/>
              <w:left w:val="nil"/>
              <w:bottom w:val="nil"/>
              <w:right w:val="nil"/>
            </w:tcBorders>
            <w:noWrap/>
            <w:vAlign w:val="bottom"/>
            <w:hideMark/>
          </w:tcPr>
          <w:p w14:paraId="7946D4C9"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$205.66</w:t>
            </w:r>
          </w:p>
        </w:tc>
        <w:tc>
          <w:tcPr>
            <w:tcW w:w="964" w:type="dxa"/>
            <w:tcBorders>
              <w:top w:val="single" w:sz="4" w:space="0" w:color="auto"/>
              <w:left w:val="nil"/>
              <w:bottom w:val="nil"/>
              <w:right w:val="nil"/>
            </w:tcBorders>
            <w:noWrap/>
            <w:vAlign w:val="bottom"/>
            <w:hideMark/>
          </w:tcPr>
          <w:p w14:paraId="2D5E2625"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$224.25</w:t>
            </w:r>
          </w:p>
        </w:tc>
        <w:tc>
          <w:tcPr>
            <w:tcW w:w="964" w:type="dxa"/>
            <w:tcBorders>
              <w:top w:val="single" w:sz="4" w:space="0" w:color="auto"/>
              <w:left w:val="nil"/>
              <w:bottom w:val="nil"/>
              <w:right w:val="nil"/>
            </w:tcBorders>
            <w:noWrap/>
            <w:vAlign w:val="bottom"/>
            <w:hideMark/>
          </w:tcPr>
          <w:p w14:paraId="0FEA2E7D"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$247.40</w:t>
            </w:r>
          </w:p>
        </w:tc>
      </w:tr>
      <w:tr w:rsidR="00A70B77" w:rsidRPr="001B33B0" w14:paraId="71FB0BBC" w14:textId="77777777" w:rsidTr="00A70B77">
        <w:trPr>
          <w:trHeight w:val="288"/>
        </w:trPr>
        <w:tc>
          <w:tcPr>
            <w:tcW w:w="1616" w:type="dxa"/>
            <w:tcBorders>
              <w:top w:val="nil"/>
              <w:left w:val="nil"/>
              <w:bottom w:val="nil"/>
              <w:right w:val="nil"/>
            </w:tcBorders>
            <w:noWrap/>
            <w:vAlign w:val="bottom"/>
            <w:hideMark/>
          </w:tcPr>
          <w:p w14:paraId="55B07F67"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9.08%</w:t>
            </w:r>
          </w:p>
        </w:tc>
        <w:tc>
          <w:tcPr>
            <w:tcW w:w="1876" w:type="dxa"/>
            <w:tcBorders>
              <w:top w:val="nil"/>
              <w:left w:val="single" w:sz="4" w:space="0" w:color="auto"/>
              <w:bottom w:val="nil"/>
              <w:right w:val="nil"/>
            </w:tcBorders>
            <w:noWrap/>
            <w:vAlign w:val="bottom"/>
            <w:hideMark/>
          </w:tcPr>
          <w:p w14:paraId="6F146F07"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$152.37</w:t>
            </w:r>
          </w:p>
        </w:tc>
        <w:tc>
          <w:tcPr>
            <w:tcW w:w="964" w:type="dxa"/>
            <w:tcBorders>
              <w:top w:val="nil"/>
              <w:left w:val="nil"/>
              <w:bottom w:val="nil"/>
              <w:right w:val="nil"/>
            </w:tcBorders>
            <w:shd w:val="clear" w:color="000000" w:fill="E4DFEC"/>
            <w:noWrap/>
            <w:vAlign w:val="bottom"/>
            <w:hideMark/>
          </w:tcPr>
          <w:p w14:paraId="7DF44CDC"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$161.31</w:t>
            </w:r>
          </w:p>
        </w:tc>
        <w:tc>
          <w:tcPr>
            <w:tcW w:w="964" w:type="dxa"/>
            <w:tcBorders>
              <w:top w:val="nil"/>
              <w:left w:val="nil"/>
              <w:bottom w:val="nil"/>
              <w:right w:val="nil"/>
            </w:tcBorders>
            <w:shd w:val="clear" w:color="000000" w:fill="E4DFEC"/>
            <w:noWrap/>
            <w:vAlign w:val="bottom"/>
            <w:hideMark/>
          </w:tcPr>
          <w:p w14:paraId="203594BA"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$171.74</w:t>
            </w:r>
          </w:p>
        </w:tc>
        <w:tc>
          <w:tcPr>
            <w:tcW w:w="964" w:type="dxa"/>
            <w:tcBorders>
              <w:top w:val="nil"/>
              <w:left w:val="nil"/>
              <w:bottom w:val="nil"/>
              <w:right w:val="nil"/>
            </w:tcBorders>
            <w:shd w:val="clear" w:color="000000" w:fill="E4DFEC"/>
            <w:noWrap/>
            <w:vAlign w:val="bottom"/>
            <w:hideMark/>
          </w:tcPr>
          <w:p w14:paraId="42976056"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$184.02</w:t>
            </w:r>
          </w:p>
        </w:tc>
        <w:tc>
          <w:tcPr>
            <w:tcW w:w="964" w:type="dxa"/>
            <w:tcBorders>
              <w:top w:val="nil"/>
              <w:left w:val="nil"/>
              <w:bottom w:val="nil"/>
              <w:right w:val="nil"/>
            </w:tcBorders>
            <w:noWrap/>
            <w:vAlign w:val="bottom"/>
            <w:hideMark/>
          </w:tcPr>
          <w:p w14:paraId="4457A8FF"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$198.73</w:t>
            </w:r>
          </w:p>
        </w:tc>
      </w:tr>
      <w:tr w:rsidR="00A70B77" w:rsidRPr="001B33B0" w14:paraId="0CF46A61" w14:textId="77777777" w:rsidTr="00A70B77">
        <w:trPr>
          <w:trHeight w:val="288"/>
        </w:trPr>
        <w:tc>
          <w:tcPr>
            <w:tcW w:w="1616" w:type="dxa"/>
            <w:tcBorders>
              <w:top w:val="nil"/>
              <w:left w:val="nil"/>
              <w:bottom w:val="nil"/>
              <w:right w:val="nil"/>
            </w:tcBorders>
            <w:noWrap/>
            <w:vAlign w:val="bottom"/>
            <w:hideMark/>
          </w:tcPr>
          <w:p w14:paraId="46FE27FA"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10.08%</w:t>
            </w:r>
          </w:p>
        </w:tc>
        <w:tc>
          <w:tcPr>
            <w:tcW w:w="1876" w:type="dxa"/>
            <w:tcBorders>
              <w:top w:val="nil"/>
              <w:left w:val="single" w:sz="4" w:space="0" w:color="auto"/>
              <w:bottom w:val="nil"/>
              <w:right w:val="nil"/>
            </w:tcBorders>
            <w:noWrap/>
            <w:vAlign w:val="bottom"/>
            <w:hideMark/>
          </w:tcPr>
          <w:p w14:paraId="1F508541"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$133.35</w:t>
            </w:r>
          </w:p>
        </w:tc>
        <w:tc>
          <w:tcPr>
            <w:tcW w:w="964" w:type="dxa"/>
            <w:tcBorders>
              <w:top w:val="nil"/>
              <w:left w:val="nil"/>
              <w:bottom w:val="nil"/>
              <w:right w:val="nil"/>
            </w:tcBorders>
            <w:shd w:val="clear" w:color="000000" w:fill="E4DFEC"/>
            <w:noWrap/>
            <w:vAlign w:val="bottom"/>
            <w:hideMark/>
          </w:tcPr>
          <w:p w14:paraId="6F14C383"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$139.92</w:t>
            </w:r>
          </w:p>
        </w:tc>
        <w:tc>
          <w:tcPr>
            <w:tcW w:w="964" w:type="dxa"/>
            <w:tcBorders>
              <w:top w:val="nil"/>
              <w:left w:val="nil"/>
              <w:bottom w:val="nil"/>
              <w:right w:val="nil"/>
            </w:tcBorders>
            <w:shd w:val="clear" w:color="FFFF00" w:fill="B1A0C7"/>
            <w:noWrap/>
            <w:vAlign w:val="bottom"/>
            <w:hideMark/>
          </w:tcPr>
          <w:p w14:paraId="0A9D5B93"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$147.41</w:t>
            </w:r>
          </w:p>
        </w:tc>
        <w:tc>
          <w:tcPr>
            <w:tcW w:w="964" w:type="dxa"/>
            <w:tcBorders>
              <w:top w:val="nil"/>
              <w:left w:val="nil"/>
              <w:bottom w:val="nil"/>
              <w:right w:val="nil"/>
            </w:tcBorders>
            <w:shd w:val="clear" w:color="000000" w:fill="E4DFEC"/>
            <w:noWrap/>
            <w:vAlign w:val="bottom"/>
            <w:hideMark/>
          </w:tcPr>
          <w:p w14:paraId="51CEC7EE"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$156.04</w:t>
            </w:r>
          </w:p>
        </w:tc>
        <w:tc>
          <w:tcPr>
            <w:tcW w:w="964" w:type="dxa"/>
            <w:tcBorders>
              <w:top w:val="nil"/>
              <w:left w:val="nil"/>
              <w:bottom w:val="nil"/>
              <w:right w:val="nil"/>
            </w:tcBorders>
            <w:noWrap/>
            <w:vAlign w:val="bottom"/>
            <w:hideMark/>
          </w:tcPr>
          <w:p w14:paraId="04D8D1C7"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$166.08</w:t>
            </w:r>
          </w:p>
        </w:tc>
      </w:tr>
      <w:tr w:rsidR="00A70B77" w:rsidRPr="001B33B0" w14:paraId="60532511" w14:textId="77777777" w:rsidTr="00A70B77">
        <w:trPr>
          <w:trHeight w:val="288"/>
        </w:trPr>
        <w:tc>
          <w:tcPr>
            <w:tcW w:w="1616" w:type="dxa"/>
            <w:tcBorders>
              <w:top w:val="nil"/>
              <w:left w:val="nil"/>
              <w:bottom w:val="nil"/>
              <w:right w:val="nil"/>
            </w:tcBorders>
            <w:noWrap/>
            <w:vAlign w:val="bottom"/>
            <w:hideMark/>
          </w:tcPr>
          <w:p w14:paraId="17A1CFBA"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11.08%</w:t>
            </w:r>
          </w:p>
        </w:tc>
        <w:tc>
          <w:tcPr>
            <w:tcW w:w="1876" w:type="dxa"/>
            <w:tcBorders>
              <w:top w:val="nil"/>
              <w:left w:val="single" w:sz="4" w:space="0" w:color="auto"/>
              <w:bottom w:val="nil"/>
              <w:right w:val="nil"/>
            </w:tcBorders>
            <w:noWrap/>
            <w:vAlign w:val="bottom"/>
            <w:hideMark/>
          </w:tcPr>
          <w:p w14:paraId="35AAC6CC"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$118.54</w:t>
            </w:r>
          </w:p>
        </w:tc>
        <w:tc>
          <w:tcPr>
            <w:tcW w:w="964" w:type="dxa"/>
            <w:tcBorders>
              <w:top w:val="nil"/>
              <w:left w:val="nil"/>
              <w:bottom w:val="nil"/>
              <w:right w:val="nil"/>
            </w:tcBorders>
            <w:shd w:val="clear" w:color="000000" w:fill="E4DFEC"/>
            <w:noWrap/>
            <w:vAlign w:val="bottom"/>
            <w:hideMark/>
          </w:tcPr>
          <w:p w14:paraId="73994ABC"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$123.52</w:t>
            </w:r>
          </w:p>
        </w:tc>
        <w:tc>
          <w:tcPr>
            <w:tcW w:w="964" w:type="dxa"/>
            <w:tcBorders>
              <w:top w:val="nil"/>
              <w:left w:val="nil"/>
              <w:bottom w:val="nil"/>
              <w:right w:val="nil"/>
            </w:tcBorders>
            <w:shd w:val="clear" w:color="000000" w:fill="E4DFEC"/>
            <w:noWrap/>
            <w:vAlign w:val="bottom"/>
            <w:hideMark/>
          </w:tcPr>
          <w:p w14:paraId="5AD50B33"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$129.11</w:t>
            </w:r>
          </w:p>
        </w:tc>
        <w:tc>
          <w:tcPr>
            <w:tcW w:w="964" w:type="dxa"/>
            <w:tcBorders>
              <w:top w:val="nil"/>
              <w:left w:val="nil"/>
              <w:bottom w:val="nil"/>
              <w:right w:val="nil"/>
            </w:tcBorders>
            <w:shd w:val="clear" w:color="000000" w:fill="E4DFEC"/>
            <w:noWrap/>
            <w:vAlign w:val="bottom"/>
            <w:hideMark/>
          </w:tcPr>
          <w:p w14:paraId="3A1B9BF0"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$135.44</w:t>
            </w:r>
          </w:p>
        </w:tc>
        <w:tc>
          <w:tcPr>
            <w:tcW w:w="964" w:type="dxa"/>
            <w:tcBorders>
              <w:top w:val="nil"/>
              <w:left w:val="nil"/>
              <w:bottom w:val="nil"/>
              <w:right w:val="nil"/>
            </w:tcBorders>
            <w:noWrap/>
            <w:vAlign w:val="bottom"/>
            <w:hideMark/>
          </w:tcPr>
          <w:p w14:paraId="503A1C0E"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$142.66</w:t>
            </w:r>
          </w:p>
        </w:tc>
      </w:tr>
      <w:tr w:rsidR="00A70B77" w:rsidRPr="001B33B0" w14:paraId="647314E9" w14:textId="77777777" w:rsidTr="00A70B77">
        <w:trPr>
          <w:trHeight w:val="288"/>
        </w:trPr>
        <w:tc>
          <w:tcPr>
            <w:tcW w:w="1616" w:type="dxa"/>
            <w:tcBorders>
              <w:top w:val="nil"/>
              <w:left w:val="nil"/>
              <w:bottom w:val="nil"/>
              <w:right w:val="nil"/>
            </w:tcBorders>
            <w:noWrap/>
            <w:vAlign w:val="bottom"/>
            <w:hideMark/>
          </w:tcPr>
          <w:p w14:paraId="70C1F12A"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12.08%</w:t>
            </w:r>
          </w:p>
        </w:tc>
        <w:tc>
          <w:tcPr>
            <w:tcW w:w="1876" w:type="dxa"/>
            <w:tcBorders>
              <w:top w:val="nil"/>
              <w:left w:val="single" w:sz="4" w:space="0" w:color="auto"/>
              <w:bottom w:val="nil"/>
              <w:right w:val="nil"/>
            </w:tcBorders>
            <w:noWrap/>
            <w:vAlign w:val="bottom"/>
            <w:hideMark/>
          </w:tcPr>
          <w:p w14:paraId="5B4DB8FD"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$106.67</w:t>
            </w:r>
          </w:p>
        </w:tc>
        <w:tc>
          <w:tcPr>
            <w:tcW w:w="964" w:type="dxa"/>
            <w:tcBorders>
              <w:top w:val="nil"/>
              <w:left w:val="nil"/>
              <w:bottom w:val="nil"/>
              <w:right w:val="nil"/>
            </w:tcBorders>
            <w:noWrap/>
            <w:vAlign w:val="bottom"/>
            <w:hideMark/>
          </w:tcPr>
          <w:p w14:paraId="4FBEAEEE"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$110.55</w:t>
            </w:r>
          </w:p>
        </w:tc>
        <w:tc>
          <w:tcPr>
            <w:tcW w:w="964" w:type="dxa"/>
            <w:tcBorders>
              <w:top w:val="nil"/>
              <w:left w:val="nil"/>
              <w:bottom w:val="nil"/>
              <w:right w:val="nil"/>
            </w:tcBorders>
            <w:noWrap/>
            <w:vAlign w:val="bottom"/>
            <w:hideMark/>
          </w:tcPr>
          <w:p w14:paraId="6149C550"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$114.85</w:t>
            </w:r>
          </w:p>
        </w:tc>
        <w:tc>
          <w:tcPr>
            <w:tcW w:w="964" w:type="dxa"/>
            <w:tcBorders>
              <w:top w:val="nil"/>
              <w:left w:val="nil"/>
              <w:bottom w:val="nil"/>
              <w:right w:val="nil"/>
            </w:tcBorders>
            <w:noWrap/>
            <w:vAlign w:val="bottom"/>
            <w:hideMark/>
          </w:tcPr>
          <w:p w14:paraId="66237AA2"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$119.65</w:t>
            </w:r>
          </w:p>
        </w:tc>
        <w:tc>
          <w:tcPr>
            <w:tcW w:w="964" w:type="dxa"/>
            <w:tcBorders>
              <w:top w:val="nil"/>
              <w:left w:val="nil"/>
              <w:bottom w:val="nil"/>
              <w:right w:val="nil"/>
            </w:tcBorders>
            <w:noWrap/>
            <w:vAlign w:val="bottom"/>
            <w:hideMark/>
          </w:tcPr>
          <w:p w14:paraId="7A247A41" w14:textId="77777777" w:rsidR="00A70B77" w:rsidRPr="001B33B0" w:rsidRDefault="00A70B77" w:rsidP="00A70B77">
            <w:pPr>
              <w:spacing w:after="0" w:line="240" w:lineRule="auto"/>
              <w:jc w:val="right"/>
              <w:rPr>
                <w:rFonts w:eastAsia="Times New Roman" w:cs="Arial"/>
                <w:color w:val="000000"/>
                <w:sz w:val="20"/>
                <w:szCs w:val="20"/>
              </w:rPr>
            </w:pPr>
            <w:r w:rsidRPr="001B33B0">
              <w:rPr>
                <w:rFonts w:eastAsia="Times New Roman" w:cs="Arial"/>
                <w:color w:val="000000"/>
                <w:sz w:val="20"/>
                <w:szCs w:val="20"/>
              </w:rPr>
              <w:t>$125.04</w:t>
            </w:r>
          </w:p>
        </w:tc>
      </w:tr>
    </w:tbl>
    <w:p w14:paraId="0AA12253" w14:textId="77777777" w:rsidR="001B33B0" w:rsidRDefault="001B33B0"/>
    <w:p w14:paraId="62AE7BFA" w14:textId="77777777" w:rsidR="001B33B0" w:rsidRDefault="001B33B0"/>
    <w:p w14:paraId="5AD71E01" w14:textId="77777777" w:rsidR="001B33B0" w:rsidRDefault="001B33B0"/>
    <w:p w14:paraId="09A6F3B1" w14:textId="77777777" w:rsidR="001B33B0" w:rsidRDefault="001B33B0"/>
    <w:p w14:paraId="64DF9348" w14:textId="77777777" w:rsidR="001B33B0" w:rsidRDefault="001B33B0"/>
    <w:p w14:paraId="70222405" w14:textId="77777777" w:rsidR="001B33B0" w:rsidRDefault="001B33B0"/>
    <w:p w14:paraId="68CCBF1D" w14:textId="77777777" w:rsidR="001B33B0" w:rsidRDefault="001B33B0"/>
    <w:p w14:paraId="11CC9993" w14:textId="77777777" w:rsidR="001B33B0" w:rsidRDefault="001B33B0"/>
    <w:p w14:paraId="712C4E4D" w14:textId="77777777" w:rsidR="001B33B0" w:rsidRDefault="001B33B0"/>
    <w:p w14:paraId="4BC4DF20" w14:textId="77777777" w:rsidR="001B33B0" w:rsidRDefault="001B33B0"/>
    <w:p w14:paraId="5AB0B1E7" w14:textId="77777777" w:rsidR="001B33B0" w:rsidRDefault="001B33B0"/>
    <w:p w14:paraId="47A5DE9B" w14:textId="77777777" w:rsidR="001B33B0" w:rsidRDefault="001B33B0"/>
    <w:p w14:paraId="4159CB88" w14:textId="77777777" w:rsidR="001B33B0" w:rsidRDefault="001B33B0"/>
    <w:p w14:paraId="537F4568" w14:textId="77777777" w:rsidR="00A70B77" w:rsidRDefault="00A70B77" w:rsidP="00A70B77">
      <w:pPr>
        <w:spacing w:before="40" w:after="100"/>
        <w:rPr>
          <w:i/>
          <w:color w:val="5F5F5F"/>
          <w:sz w:val="15"/>
        </w:rPr>
      </w:pPr>
    </w:p>
    <w:p w14:paraId="2E46D49F" w14:textId="77777777" w:rsidR="00A70B77" w:rsidRDefault="00A70B77" w:rsidP="00A70B77">
      <w:pPr>
        <w:spacing w:before="40" w:after="100"/>
        <w:rPr>
          <w:i/>
          <w:color w:val="5F5F5F"/>
          <w:sz w:val="15"/>
        </w:rPr>
      </w:pPr>
    </w:p>
    <w:p w14:paraId="7D94827C" w14:textId="54968A5C" w:rsidR="00A70B77" w:rsidRDefault="00A70B77" w:rsidP="00A70B77">
      <w:pPr>
        <w:spacing w:before="40" w:after="100"/>
      </w:pPr>
      <w:r>
        <w:rPr>
          <w:i/>
          <w:color w:val="5F5F5F"/>
          <w:sz w:val="15"/>
        </w:rPr>
        <w:t xml:space="preserve">Source: </w:t>
      </w:r>
      <w:proofErr w:type="spellStart"/>
      <w:r>
        <w:rPr>
          <w:i/>
          <w:color w:val="5F5F5F"/>
          <w:sz w:val="15"/>
        </w:rPr>
        <w:t>aApple</w:t>
      </w:r>
      <w:proofErr w:type="spellEnd"/>
      <w:r>
        <w:rPr>
          <w:i/>
          <w:color w:val="5F5F5F"/>
          <w:sz w:val="15"/>
        </w:rPr>
        <w:t xml:space="preserve"> </w:t>
      </w:r>
      <w:proofErr w:type="gramStart"/>
      <w:r>
        <w:rPr>
          <w:i/>
          <w:color w:val="5F5F5F"/>
          <w:sz w:val="15"/>
        </w:rPr>
        <w:t>DCF(</w:t>
      </w:r>
      <w:proofErr w:type="gramEnd"/>
      <w:r>
        <w:rPr>
          <w:i/>
          <w:color w:val="5F5F5F"/>
          <w:sz w:val="15"/>
        </w:rPr>
        <w:t>4).xlsx, Valuation, exit-multiple and perpetuity sensitivity analyses.</w:t>
      </w:r>
    </w:p>
    <w:p w14:paraId="7DFDBF53" w14:textId="77777777" w:rsidR="001B33B0" w:rsidRDefault="001B33B0"/>
    <w:p w14:paraId="3567B111" w14:textId="77777777" w:rsidR="00A70B77" w:rsidRDefault="00A70B77"/>
    <w:p w14:paraId="0AA1D47B" w14:textId="77777777" w:rsidR="002F1EFC" w:rsidRDefault="00000000">
      <w:pPr>
        <w:pStyle w:val="Heading2"/>
      </w:pPr>
      <w:r>
        <w:t>Forecast cash flow and sensitivity</w:t>
      </w:r>
    </w:p>
    <w:tbl>
      <w:tblPr>
        <w:tblStyle w:val="LightShading-Accent1"/>
        <w:tblW w:w="0" w:type="auto"/>
        <w:tblLook w:val="04A0" w:firstRow="1" w:lastRow="0" w:firstColumn="1" w:lastColumn="0" w:noHBand="0" w:noVBand="1"/>
      </w:tblPr>
      <w:tblGrid>
        <w:gridCol w:w="4320"/>
        <w:gridCol w:w="4320"/>
      </w:tblGrid>
      <w:tr w:rsidR="002F1EFC" w14:paraId="7E7BFB59" w14:textId="77777777" w:rsidTr="002F1E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70369B"/>
          </w:tcPr>
          <w:p w14:paraId="7D6139F0" w14:textId="77777777" w:rsidR="002F1EFC" w:rsidRDefault="00000000">
            <w:r>
              <w:rPr>
                <w:color w:val="FFFFFF"/>
              </w:rPr>
              <w:t>Fiscal year</w:t>
            </w:r>
          </w:p>
        </w:tc>
        <w:tc>
          <w:tcPr>
            <w:tcW w:w="4320" w:type="dxa"/>
            <w:shd w:val="clear" w:color="auto" w:fill="70369B"/>
          </w:tcPr>
          <w:p w14:paraId="15F8A26D" w14:textId="77777777" w:rsidR="002F1EFC" w:rsidRDefault="00000000">
            <w:pPr>
              <w:cnfStyle w:val="100000000000" w:firstRow="1" w:lastRow="0" w:firstColumn="0" w:lastColumn="0" w:oddVBand="0" w:evenVBand="0" w:oddHBand="0" w:evenHBand="0" w:firstRowFirstColumn="0" w:firstRowLastColumn="0" w:lastRowFirstColumn="0" w:lastRowLastColumn="0"/>
            </w:pPr>
            <w:r>
              <w:rPr>
                <w:color w:val="FFFFFF"/>
              </w:rPr>
              <w:t>Projected unlevered FCF</w:t>
            </w:r>
          </w:p>
        </w:tc>
      </w:tr>
      <w:tr w:rsidR="002F1EFC" w14:paraId="5143C47C" w14:textId="77777777" w:rsidTr="002F1E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56677AB" w14:textId="77777777" w:rsidR="002F1EFC" w:rsidRDefault="00000000">
            <w:r>
              <w:t>2026E</w:t>
            </w:r>
          </w:p>
        </w:tc>
        <w:tc>
          <w:tcPr>
            <w:tcW w:w="4320" w:type="dxa"/>
          </w:tcPr>
          <w:p w14:paraId="7709E283" w14:textId="77777777" w:rsidR="002F1EFC" w:rsidRDefault="00000000">
            <w:pPr>
              <w:cnfStyle w:val="000000100000" w:firstRow="0" w:lastRow="0" w:firstColumn="0" w:lastColumn="0" w:oddVBand="0" w:evenVBand="0" w:oddHBand="1" w:evenHBand="0" w:firstRowFirstColumn="0" w:firstRowLastColumn="0" w:lastRowFirstColumn="0" w:lastRowLastColumn="0"/>
            </w:pPr>
            <w:r>
              <w:t>$125.1bn</w:t>
            </w:r>
          </w:p>
        </w:tc>
      </w:tr>
      <w:tr w:rsidR="002F1EFC" w14:paraId="10623FFB" w14:textId="77777777" w:rsidTr="002F1EFC">
        <w:tc>
          <w:tcPr>
            <w:cnfStyle w:val="001000000000" w:firstRow="0" w:lastRow="0" w:firstColumn="1" w:lastColumn="0" w:oddVBand="0" w:evenVBand="0" w:oddHBand="0" w:evenHBand="0" w:firstRowFirstColumn="0" w:firstRowLastColumn="0" w:lastRowFirstColumn="0" w:lastRowLastColumn="0"/>
            <w:tcW w:w="4320" w:type="dxa"/>
          </w:tcPr>
          <w:p w14:paraId="2FD59D7E" w14:textId="77777777" w:rsidR="002F1EFC" w:rsidRDefault="00000000">
            <w:r>
              <w:t>2027E</w:t>
            </w:r>
          </w:p>
        </w:tc>
        <w:tc>
          <w:tcPr>
            <w:tcW w:w="4320" w:type="dxa"/>
          </w:tcPr>
          <w:p w14:paraId="3107B973" w14:textId="77777777" w:rsidR="002F1EFC" w:rsidRDefault="00000000">
            <w:pPr>
              <w:cnfStyle w:val="000000000000" w:firstRow="0" w:lastRow="0" w:firstColumn="0" w:lastColumn="0" w:oddVBand="0" w:evenVBand="0" w:oddHBand="0" w:evenHBand="0" w:firstRowFirstColumn="0" w:firstRowLastColumn="0" w:lastRowFirstColumn="0" w:lastRowLastColumn="0"/>
            </w:pPr>
            <w:r>
              <w:t>$135.0bn</w:t>
            </w:r>
          </w:p>
        </w:tc>
      </w:tr>
      <w:tr w:rsidR="002F1EFC" w14:paraId="0649A3E6" w14:textId="77777777" w:rsidTr="002F1E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43D3370" w14:textId="77777777" w:rsidR="002F1EFC" w:rsidRDefault="00000000">
            <w:r>
              <w:t>2028E</w:t>
            </w:r>
          </w:p>
        </w:tc>
        <w:tc>
          <w:tcPr>
            <w:tcW w:w="4320" w:type="dxa"/>
          </w:tcPr>
          <w:p w14:paraId="5AEB0C74" w14:textId="77777777" w:rsidR="002F1EFC" w:rsidRDefault="00000000">
            <w:pPr>
              <w:cnfStyle w:val="000000100000" w:firstRow="0" w:lastRow="0" w:firstColumn="0" w:lastColumn="0" w:oddVBand="0" w:evenVBand="0" w:oddHBand="1" w:evenHBand="0" w:firstRowFirstColumn="0" w:firstRowLastColumn="0" w:lastRowFirstColumn="0" w:lastRowLastColumn="0"/>
            </w:pPr>
            <w:r>
              <w:t>$142.7bn</w:t>
            </w:r>
          </w:p>
        </w:tc>
      </w:tr>
      <w:tr w:rsidR="002F1EFC" w14:paraId="08A01BBF" w14:textId="77777777" w:rsidTr="002F1EFC">
        <w:tc>
          <w:tcPr>
            <w:cnfStyle w:val="001000000000" w:firstRow="0" w:lastRow="0" w:firstColumn="1" w:lastColumn="0" w:oddVBand="0" w:evenVBand="0" w:oddHBand="0" w:evenHBand="0" w:firstRowFirstColumn="0" w:firstRowLastColumn="0" w:lastRowFirstColumn="0" w:lastRowLastColumn="0"/>
            <w:tcW w:w="4320" w:type="dxa"/>
          </w:tcPr>
          <w:p w14:paraId="5221554B" w14:textId="77777777" w:rsidR="002F1EFC" w:rsidRDefault="00000000">
            <w:r>
              <w:t>2029E</w:t>
            </w:r>
          </w:p>
        </w:tc>
        <w:tc>
          <w:tcPr>
            <w:tcW w:w="4320" w:type="dxa"/>
          </w:tcPr>
          <w:p w14:paraId="63D1F490" w14:textId="77777777" w:rsidR="002F1EFC" w:rsidRDefault="00000000">
            <w:pPr>
              <w:cnfStyle w:val="000000000000" w:firstRow="0" w:lastRow="0" w:firstColumn="0" w:lastColumn="0" w:oddVBand="0" w:evenVBand="0" w:oddHBand="0" w:evenHBand="0" w:firstRowFirstColumn="0" w:firstRowLastColumn="0" w:lastRowFirstColumn="0" w:lastRowLastColumn="0"/>
            </w:pPr>
            <w:r>
              <w:t>$150.8bn</w:t>
            </w:r>
          </w:p>
        </w:tc>
      </w:tr>
      <w:tr w:rsidR="002F1EFC" w14:paraId="7FC92850" w14:textId="77777777" w:rsidTr="002F1E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155234A" w14:textId="77777777" w:rsidR="002F1EFC" w:rsidRDefault="00000000">
            <w:r>
              <w:t>2030E</w:t>
            </w:r>
          </w:p>
        </w:tc>
        <w:tc>
          <w:tcPr>
            <w:tcW w:w="4320" w:type="dxa"/>
          </w:tcPr>
          <w:p w14:paraId="3A378A80" w14:textId="77777777" w:rsidR="002F1EFC" w:rsidRDefault="00000000">
            <w:pPr>
              <w:cnfStyle w:val="000000100000" w:firstRow="0" w:lastRow="0" w:firstColumn="0" w:lastColumn="0" w:oddVBand="0" w:evenVBand="0" w:oddHBand="1" w:evenHBand="0" w:firstRowFirstColumn="0" w:firstRowLastColumn="0" w:lastRowFirstColumn="0" w:lastRowLastColumn="0"/>
            </w:pPr>
            <w:r>
              <w:t>$158.4bn</w:t>
            </w:r>
          </w:p>
        </w:tc>
      </w:tr>
    </w:tbl>
    <w:p w14:paraId="631C8C3B" w14:textId="77777777" w:rsidR="009C0B43" w:rsidRDefault="00000000">
      <w:pPr>
        <w:spacing w:before="40" w:after="100"/>
      </w:pPr>
      <w:r>
        <w:rPr>
          <w:i/>
          <w:color w:val="5F5F5F"/>
          <w:sz w:val="15"/>
        </w:rPr>
        <w:t>Source: aApple DCF(4).xlsx, Valuation, projected unlevered free cash flow.</w:t>
      </w:r>
    </w:p>
    <w:p w14:paraId="593CA759" w14:textId="77777777" w:rsidR="002F1EFC" w:rsidRDefault="00000000">
      <w:r>
        <w:t>The exit-multiple approach places substantial weight on the market multiple continuing into FY2030. The perpetuity approach instead assumes cash flows grow at 3% after the forecast. Neither is a guaranteed price target. The supplied sensitivity grids show that changes in WACC, exit multiple and terminal growth can materially change fair value. In particular, a 29.38x exit multiple is a demanding assumption and should be tested against a normalized peer group.</w:t>
      </w:r>
    </w:p>
    <w:p w14:paraId="06ECDB1A" w14:textId="77777777" w:rsidR="009C0B43" w:rsidRDefault="00000000">
      <w:r>
        <w:t>Investment interpretation: At the $340.42 reference price, the $317.79 exit-multiple estimate implies approximately 6.6% downside, while the $147.41 perpetuity estimate implies 56.7% downside. The large difference reflects terminal-value assumptions, not a precise forecast of future share-price performance. A HOLD therefore requires confidence in the underlying franchise but does not imply an attractive margin of safety at the reference price.</w:t>
      </w:r>
    </w:p>
    <w:p w14:paraId="479E18C9" w14:textId="77777777" w:rsidR="002F1EFC" w:rsidRDefault="00000000">
      <w:pPr>
        <w:pStyle w:val="Heading1"/>
      </w:pPr>
      <w:r>
        <w:t>6. Relative Valuation and Model Limitations</w:t>
      </w:r>
    </w:p>
    <w:p w14:paraId="1729B488" w14:textId="77777777" w:rsidR="002F1EFC" w:rsidRDefault="00000000">
      <w:r>
        <w:t xml:space="preserve">The trading-comparables workbook includes Apple and technology peers, using an October 7, 2026 date. The peers differ materially in business models, including software, internet platforms and hardware. Their EV/revenue, EV/EBITDA and earnings multiples should therefore be treated as a cross-check rather than a </w:t>
      </w:r>
      <w:r>
        <w:lastRenderedPageBreak/>
        <w:t>single interchangeable benchmark. The DCF exit multiple is derived from the workbook’s current enterprise value and trailing EBITDA, not from a separately established long-run industry multiple.</w:t>
      </w:r>
    </w:p>
    <w:p w14:paraId="35FF9342" w14:textId="77777777" w:rsidR="009C0B43" w:rsidRDefault="00000000">
      <w:r>
        <w:t>Relative-valuation interpretation: The 29.38x EBITDA exit multiple embedded in the DCF should not be treated as a conservative industry norm. Apple’s integrated hardware-and-services mix differs from software, semiconductor and internet-platform peers. Comparable-company multiples are most useful as a reasonableness check on the terminal assumption, not as a substitute for cash-flow valuation.</w:t>
      </w:r>
    </w:p>
    <w:p w14:paraId="28C11A41" w14:textId="77777777" w:rsidR="002F1EFC" w:rsidRDefault="00000000">
      <w:r>
        <w:t>Important limitations: the model uses a September 2025 valuation anchor with October 2026 market inputs; forecasts and price inputs are not all from the same date. The report does not independently audit the source data or rebuild the full model. The October 8 price is historical, not a live quote. The DCF estimates are scenario outputs, not assured returns.</w:t>
      </w:r>
    </w:p>
    <w:p w14:paraId="1318E9D6" w14:textId="77777777" w:rsidR="002F1EFC" w:rsidRDefault="00000000">
      <w:pPr>
        <w:pStyle w:val="Heading1"/>
      </w:pPr>
      <w:r>
        <w:t>7. Risks, Catalysts and What Would Change the View</w:t>
      </w:r>
    </w:p>
    <w:p w14:paraId="3DCF6F63" w14:textId="77777777" w:rsidR="002F1EFC" w:rsidRDefault="00000000">
      <w:pPr>
        <w:pStyle w:val="Heading2"/>
      </w:pPr>
      <w:r>
        <w:t>Principal risks</w:t>
      </w:r>
    </w:p>
    <w:p w14:paraId="59F10F17" w14:textId="77777777" w:rsidR="002F1EFC" w:rsidRDefault="00000000">
      <w:r>
        <w:t>Hardware concentration: iPhone remains the largest product line, making replacement cycles and premium-phone demand important. Valuation: a high exit multiple leaves the model exposed to a lower market rating. Services: strong revenue growth may slow, and the individual economics of each service are not established by the industry datasets. Semiconductor supply: advanced-node manufacturing capacity and execution could affect costs and product launches. Data risk: forecasts, shipments, user counts and market-share definitions vary across the compiled research.</w:t>
      </w:r>
    </w:p>
    <w:p w14:paraId="0FDCD54D" w14:textId="77777777" w:rsidR="002F1EFC" w:rsidRDefault="00000000">
      <w:pPr>
        <w:pStyle w:val="Heading2"/>
      </w:pPr>
      <w:r>
        <w:t>Potential catalysts</w:t>
      </w:r>
    </w:p>
    <w:p w14:paraId="25EFACB0" w14:textId="77777777" w:rsidR="002F1EFC" w:rsidRDefault="00000000">
      <w:r>
        <w:t>Better-than-modeled services growth; stronger hardware replacement demand; successful chip-driven product upgrades; better free cash flow conversion; and a lower entry price that creates a margin of safety. These are possible developments to monitor, not predicted events.</w:t>
      </w:r>
    </w:p>
    <w:p w14:paraId="76C09AE0" w14:textId="77777777" w:rsidR="002F1EFC" w:rsidRDefault="00000000">
      <w:pPr>
        <w:pStyle w:val="Heading2"/>
      </w:pPr>
      <w:r>
        <w:t>Decision framework</w:t>
      </w:r>
    </w:p>
    <w:tbl>
      <w:tblPr>
        <w:tblStyle w:val="LightShading-Accent1"/>
        <w:tblW w:w="0" w:type="auto"/>
        <w:tblLook w:val="04A0" w:firstRow="1" w:lastRow="0" w:firstColumn="1" w:lastColumn="0" w:noHBand="0" w:noVBand="1"/>
      </w:tblPr>
      <w:tblGrid>
        <w:gridCol w:w="2880"/>
        <w:gridCol w:w="2880"/>
        <w:gridCol w:w="2880"/>
      </w:tblGrid>
      <w:tr w:rsidR="002F1EFC" w14:paraId="03E42B96" w14:textId="77777777" w:rsidTr="002F1E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70369B"/>
          </w:tcPr>
          <w:p w14:paraId="56027364" w14:textId="77777777" w:rsidR="002F1EFC" w:rsidRDefault="00000000">
            <w:r>
              <w:rPr>
                <w:color w:val="FFFFFF"/>
              </w:rPr>
              <w:t>Move toward BUY</w:t>
            </w:r>
          </w:p>
        </w:tc>
        <w:tc>
          <w:tcPr>
            <w:tcW w:w="2880" w:type="dxa"/>
            <w:shd w:val="clear" w:color="auto" w:fill="70369B"/>
          </w:tcPr>
          <w:p w14:paraId="3711B273" w14:textId="77777777" w:rsidR="002F1EFC" w:rsidRDefault="00000000">
            <w:pPr>
              <w:cnfStyle w:val="100000000000" w:firstRow="1" w:lastRow="0" w:firstColumn="0" w:lastColumn="0" w:oddVBand="0" w:evenVBand="0" w:oddHBand="0" w:evenHBand="0" w:firstRowFirstColumn="0" w:firstRowLastColumn="0" w:lastRowFirstColumn="0" w:lastRowLastColumn="0"/>
            </w:pPr>
            <w:r>
              <w:rPr>
                <w:color w:val="FFFFFF"/>
              </w:rPr>
              <w:t>Maintain HOLD</w:t>
            </w:r>
          </w:p>
        </w:tc>
        <w:tc>
          <w:tcPr>
            <w:tcW w:w="2880" w:type="dxa"/>
            <w:shd w:val="clear" w:color="auto" w:fill="70369B"/>
          </w:tcPr>
          <w:p w14:paraId="3CF7A791" w14:textId="77777777" w:rsidR="002F1EFC" w:rsidRDefault="00000000">
            <w:pPr>
              <w:cnfStyle w:val="100000000000" w:firstRow="1" w:lastRow="0" w:firstColumn="0" w:lastColumn="0" w:oddVBand="0" w:evenVBand="0" w:oddHBand="0" w:evenHBand="0" w:firstRowFirstColumn="0" w:firstRowLastColumn="0" w:lastRowFirstColumn="0" w:lastRowLastColumn="0"/>
            </w:pPr>
            <w:r>
              <w:rPr>
                <w:color w:val="FFFFFF"/>
              </w:rPr>
              <w:t>Move toward SELL</w:t>
            </w:r>
          </w:p>
        </w:tc>
      </w:tr>
      <w:tr w:rsidR="002F1EFC" w14:paraId="529A7D4F" w14:textId="77777777" w:rsidTr="002F1E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368DF06" w14:textId="77777777" w:rsidR="002F1EFC" w:rsidRDefault="00000000">
            <w:r>
              <w:t>Price falls enough to create a margin of safety, or supported cash-flow forecasts rise</w:t>
            </w:r>
          </w:p>
        </w:tc>
        <w:tc>
          <w:tcPr>
            <w:tcW w:w="2880" w:type="dxa"/>
          </w:tcPr>
          <w:p w14:paraId="4940D899" w14:textId="77777777" w:rsidR="002F1EFC" w:rsidRDefault="00000000">
            <w:pPr>
              <w:cnfStyle w:val="000000100000" w:firstRow="0" w:lastRow="0" w:firstColumn="0" w:lastColumn="0" w:oddVBand="0" w:evenVBand="0" w:oddHBand="1" w:evenHBand="0" w:firstRowFirstColumn="0" w:firstRowLastColumn="0" w:lastRowFirstColumn="0" w:lastRowLastColumn="0"/>
            </w:pPr>
            <w:r>
              <w:t>Business performance remains sound, but valuation is near or above defensible value</w:t>
            </w:r>
          </w:p>
        </w:tc>
        <w:tc>
          <w:tcPr>
            <w:tcW w:w="2880" w:type="dxa"/>
          </w:tcPr>
          <w:p w14:paraId="57C2433E" w14:textId="77777777" w:rsidR="002F1EFC" w:rsidRDefault="00000000">
            <w:pPr>
              <w:cnfStyle w:val="000000100000" w:firstRow="0" w:lastRow="0" w:firstColumn="0" w:lastColumn="0" w:oddVBand="0" w:evenVBand="0" w:oddHBand="1" w:evenHBand="0" w:firstRowFirstColumn="0" w:firstRowLastColumn="0" w:lastRowFirstColumn="0" w:lastRowLastColumn="0"/>
            </w:pPr>
            <w:r>
              <w:t>Cash-flow outlook weakens, chip or product risks rise, or valuation becomes harder to justify</w:t>
            </w:r>
          </w:p>
        </w:tc>
      </w:tr>
    </w:tbl>
    <w:p w14:paraId="0BC62D19" w14:textId="77777777" w:rsidR="009C0B43" w:rsidRDefault="00000000">
      <w:pPr>
        <w:spacing w:before="40" w:after="100"/>
      </w:pPr>
      <w:r>
        <w:rPr>
          <w:i/>
          <w:color w:val="5F5F5F"/>
          <w:sz w:val="15"/>
        </w:rPr>
        <w:t>Source: Author’s investment framework, based on the financial and valuation analysis in the accompanying workbooks.</w:t>
      </w:r>
    </w:p>
    <w:p w14:paraId="4CBCD30D" w14:textId="77777777" w:rsidR="002F1EFC" w:rsidRDefault="00000000">
      <w:pPr>
        <w:pStyle w:val="Heading1"/>
      </w:pPr>
      <w:r>
        <w:t>8. Conclusion</w:t>
      </w:r>
    </w:p>
    <w:p w14:paraId="02F971B1" w14:textId="77777777" w:rsidR="002F1EFC" w:rsidRDefault="00000000">
      <w:r>
        <w:t>Apple combines a large hardware business with a growing services line. The supplied FY2025 data support a clear services-growth argument, while iPhone revenue remains central to the company. Apple silicon may help product differentiation, but its financial contribution cannot be quantified from these workbooks. The DCF does not show a margin of safety against its October 8, 2026 reference price: the exit-multiple method indicates modest downside and the perpetuity method much greater downside. A conditional HOLD is the most defensible reading of this model until the price inputs, forecasts and terminal assumptions are refreshed.</w:t>
      </w:r>
    </w:p>
    <w:p w14:paraId="368B5038" w14:textId="77777777" w:rsidR="002F1EFC" w:rsidRDefault="00000000">
      <w:pPr>
        <w:pStyle w:val="Heading1"/>
      </w:pPr>
      <w:r>
        <w:t>Sources and Research Notes</w:t>
      </w:r>
    </w:p>
    <w:p w14:paraId="199141AD" w14:textId="77777777" w:rsidR="002F1EFC" w:rsidRDefault="00000000">
      <w:r>
        <w:t>Primary analysis: aApple DCF(4).xlsx (&gt;&gt;Valuation and supporting schedules); aApple Financial Analysis(5).xlsx; Apple_Four_Financial_Analyses(6).xlsx; aApple Trading Comps(4).xlsx; bApple Fundamentals(5).xlsx; bApple Smartphone Industry(5).xlsx; bApple Laptop Industry(5).xlsx; bApple Tablets Industry(5).xlsx; bApple Accessories and Services Industry(5).xlsx. Historical numbers and industry datasets come from these workbooks. The Monster Beverage PDF was used for layout guidance only.</w:t>
      </w:r>
    </w:p>
    <w:p w14:paraId="74913F58" w14:textId="77777777" w:rsidR="002F1EFC" w:rsidRDefault="00000000">
      <w:r>
        <w:t>[S1] Apple Support, Mac computers with Apple silicon: https://support.apple.com/en-us/116943</w:t>
      </w:r>
    </w:p>
    <w:p w14:paraId="03380756" w14:textId="77777777" w:rsidR="002F1EFC" w:rsidRDefault="00000000">
      <w:r>
        <w:lastRenderedPageBreak/>
        <w:t>[S2] Apple Newsroom, M5 Pro and M5 Max, 3 March 2026: https://www.apple.com/newsroom/2026/03/apple-debuts-m5-pro-and-m5-max-to-supercharge-the-most-demanding-pro-workflows/</w:t>
      </w:r>
    </w:p>
    <w:p w14:paraId="177E252B" w14:textId="77777777" w:rsidR="002F1EFC" w:rsidRDefault="00000000">
      <w:r>
        <w:t>[S3] Apple Newsroom, M6 and M5 Ultra, 25 August 2026: https://www.apple.com/ca/newsroom/2026/08/apple-introduces-m6-and-m5-ultra-for-a-big-leap-in-performance-and-ai-compute/</w:t>
      </w:r>
    </w:p>
    <w:p w14:paraId="5D649B91" w14:textId="77777777" w:rsidR="002F1EFC" w:rsidRDefault="00000000">
      <w:r>
        <w:t>[S4] TSMC, 2025 Annual Report: https://investor.tsmc.com/static/annualReports/2025/english/index.html</w:t>
      </w:r>
    </w:p>
    <w:p w14:paraId="77B0FC50" w14:textId="77777777" w:rsidR="002F1EFC" w:rsidRDefault="00000000">
      <w:r>
        <w:t>Research disclosure: This is an independent educational equity research exercise, not personalized investment advice. The recommendation is conditional on the workbook’s assumptions and dated price. No claim of CFA Institute endorsement or compliance certification is made.</w:t>
      </w:r>
    </w:p>
    <w:sectPr w:rsidR="002F1EFC" w:rsidSect="00034616">
      <w:headerReference w:type="default" r:id="rId9"/>
      <w:footerReference w:type="default" r:id="rId10"/>
      <w:pgSz w:w="12240" w:h="15840"/>
      <w:pgMar w:top="1037" w:right="1800" w:bottom="936" w:left="1800" w:header="576"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10D8B0" w14:textId="77777777" w:rsidR="0015360F" w:rsidRDefault="0015360F">
      <w:pPr>
        <w:spacing w:after="0" w:line="240" w:lineRule="auto"/>
      </w:pPr>
      <w:r>
        <w:separator/>
      </w:r>
    </w:p>
  </w:endnote>
  <w:endnote w:type="continuationSeparator" w:id="0">
    <w:p w14:paraId="093B5DD4" w14:textId="77777777" w:rsidR="0015360F" w:rsidRDefault="00153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E02CB" w14:textId="77777777" w:rsidR="002F1EFC" w:rsidRDefault="00000000">
    <w:pPr>
      <w:pStyle w:val="Footer"/>
      <w:jc w:val="center"/>
    </w:pPr>
    <w:r>
      <w:rPr>
        <w:sz w:val="16"/>
      </w:rPr>
      <w:t>Prepared by Simba Michael Choga | 20 October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DF1EBC" w14:textId="77777777" w:rsidR="0015360F" w:rsidRDefault="0015360F">
      <w:pPr>
        <w:spacing w:after="0" w:line="240" w:lineRule="auto"/>
      </w:pPr>
      <w:r>
        <w:separator/>
      </w:r>
    </w:p>
  </w:footnote>
  <w:footnote w:type="continuationSeparator" w:id="0">
    <w:p w14:paraId="65580441" w14:textId="77777777" w:rsidR="0015360F" w:rsidRDefault="00153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AC2AE" w14:textId="77777777" w:rsidR="002F1EFC" w:rsidRDefault="00000000">
    <w:pPr>
      <w:pStyle w:val="Header"/>
      <w:jc w:val="right"/>
    </w:pPr>
    <w:r>
      <w:rPr>
        <w:sz w:val="16"/>
      </w:rPr>
      <w:t>Equity Research Report | Apple Inc. (AAPL)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13842074">
    <w:abstractNumId w:val="8"/>
  </w:num>
  <w:num w:numId="2" w16cid:durableId="1742829660">
    <w:abstractNumId w:val="6"/>
  </w:num>
  <w:num w:numId="3" w16cid:durableId="814880725">
    <w:abstractNumId w:val="5"/>
  </w:num>
  <w:num w:numId="4" w16cid:durableId="484664103">
    <w:abstractNumId w:val="4"/>
  </w:num>
  <w:num w:numId="5" w16cid:durableId="290672597">
    <w:abstractNumId w:val="7"/>
  </w:num>
  <w:num w:numId="6" w16cid:durableId="907571430">
    <w:abstractNumId w:val="3"/>
  </w:num>
  <w:num w:numId="7" w16cid:durableId="679040443">
    <w:abstractNumId w:val="2"/>
  </w:num>
  <w:num w:numId="8" w16cid:durableId="212541087">
    <w:abstractNumId w:val="1"/>
  </w:num>
  <w:num w:numId="9" w16cid:durableId="18112472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360F"/>
    <w:rsid w:val="00191688"/>
    <w:rsid w:val="001B33B0"/>
    <w:rsid w:val="0029639D"/>
    <w:rsid w:val="002F1EFC"/>
    <w:rsid w:val="00326F90"/>
    <w:rsid w:val="00435B13"/>
    <w:rsid w:val="0098518F"/>
    <w:rsid w:val="009C0B43"/>
    <w:rsid w:val="00A70B77"/>
    <w:rsid w:val="00AA1D8D"/>
    <w:rsid w:val="00B47730"/>
    <w:rsid w:val="00BA1DBA"/>
    <w:rsid w:val="00CB0664"/>
    <w:rsid w:val="00CD7A2E"/>
    <w:rsid w:val="00E72FB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4D5202"/>
  <w14:defaultImageDpi w14:val="300"/>
  <w15:docId w15:val="{BDEB3D52-88F9-4A5E-A846-7BBC66C5E0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hAnsi="Arial"/>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6E2D96"/>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6E2D96"/>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6E2D96"/>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7</Pages>
  <Words>2807</Words>
  <Characters>16001</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18771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Simba Choga</cp:lastModifiedBy>
  <cp:revision>4</cp:revision>
  <dcterms:created xsi:type="dcterms:W3CDTF">2013-12-23T23:15:00Z</dcterms:created>
  <dcterms:modified xsi:type="dcterms:W3CDTF">2026-10-27T20:21:00Z</dcterms:modified>
  <cp:category/>
</cp:coreProperties>
</file>