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79EC" w14:textId="3B6741CB" w:rsidR="000803DB" w:rsidRPr="00044C72" w:rsidRDefault="000F74F4">
      <w:pPr>
        <w:pStyle w:val="Heading1"/>
        <w:rPr>
          <w:rFonts w:asciiTheme="minorHAnsi" w:hAnsiTheme="minorHAnsi" w:cstheme="minorBidi"/>
          <w:sz w:val="32"/>
          <w:szCs w:val="32"/>
        </w:rPr>
      </w:pPr>
      <w:r w:rsidRPr="00044C72">
        <w:rPr>
          <w:rFonts w:asciiTheme="minorHAnsi" w:hAnsiTheme="minorHAnsi" w:cstheme="minorBidi"/>
          <w:sz w:val="32"/>
          <w:szCs w:val="32"/>
        </w:rPr>
        <w:t>IGL Onboarding and Runtime Agent Governance</w:t>
      </w:r>
    </w:p>
    <w:p w14:paraId="08C8AC44" w14:textId="77777777" w:rsidR="000F74F4" w:rsidRDefault="000F74F4">
      <w:r>
        <w:t>Use these instructions to govern how AI agents are activated, bounded, executed, and verified inside the VDRPros Identity Governed Logic framework.</w:t>
      </w:r>
    </w:p>
    <w:p w14:paraId="1F5C0FD1" w14:textId="77777777" w:rsidR="000F74F4" w:rsidRDefault="000F74F4">
      <w:pPr>
        <w:pStyle w:val="Heading2"/>
        <w:rPr>
          <w:rFonts w:asciiTheme="minorHAnsi" w:hAnsiTheme="minorHAnsi" w:cstheme="minorBidi"/>
        </w:rPr>
      </w:pPr>
      <w:r>
        <w:rPr>
          <w:rFonts w:asciiTheme="minorHAnsi" w:hAnsiTheme="minorHAnsi" w:cstheme="minorBidi"/>
        </w:rPr>
        <w:t>1. Core Principle</w:t>
      </w:r>
    </w:p>
    <w:p w14:paraId="596D2B77" w14:textId="77777777" w:rsidR="000F74F4" w:rsidRDefault="000F74F4">
      <w:r>
        <w:t>Do not treat AI agents as open-ended prompt responders. Treat each agent as a governed Identity Graph node with a defined purpose, scope, authority boundary, runtime gate, and receipt obligation.</w:t>
      </w:r>
    </w:p>
    <w:p w14:paraId="4DC76F4D" w14:textId="77777777" w:rsidR="000F74F4" w:rsidRDefault="000F74F4">
      <w:pPr>
        <w:pStyle w:val="Heading2"/>
        <w:rPr>
          <w:rFonts w:asciiTheme="minorHAnsi" w:hAnsiTheme="minorHAnsi" w:cstheme="minorBidi"/>
        </w:rPr>
      </w:pPr>
      <w:r>
        <w:rPr>
          <w:rFonts w:asciiTheme="minorHAnsi" w:hAnsiTheme="minorHAnsi" w:cstheme="minorBidi"/>
        </w:rPr>
        <w:t>2. Onboarding as Boundary Compilation</w:t>
      </w:r>
    </w:p>
    <w:p w14:paraId="112A61C5" w14:textId="77777777" w:rsidR="000F74F4" w:rsidRDefault="000F74F4">
      <w:r>
        <w:t>Onboarding converts customer selections into the initial governed execution boundary for the workspace. The onboarding workflow captures identity, firm, role, matter, industry, use case, data source, workspace mode, jurisdiction, and role-management vectors. These vectors become the first workspace Identity Graph and define what downstream agents may access, analyze, generate, approve, or block.</w:t>
      </w:r>
    </w:p>
    <w:p w14:paraId="324BB8D7" w14:textId="77777777" w:rsidR="000F74F4" w:rsidRDefault="000F74F4">
      <w:pPr>
        <w:pStyle w:val="Heading2"/>
        <w:rPr>
          <w:rFonts w:asciiTheme="minorHAnsi" w:hAnsiTheme="minorHAnsi" w:cstheme="minorBidi"/>
        </w:rPr>
      </w:pPr>
      <w:r>
        <w:rPr>
          <w:rFonts w:asciiTheme="minorHAnsi" w:hAnsiTheme="minorHAnsi" w:cstheme="minorBidi"/>
        </w:rPr>
        <w:t>3. Agent Activation Rules</w:t>
      </w:r>
    </w:p>
    <w:p w14:paraId="3CFB57A8" w14:textId="77777777" w:rsidR="000F74F4" w:rsidRDefault="000F74F4" w:rsidP="000F74F4">
      <w:pPr>
        <w:pStyle w:val="ListParagraph"/>
        <w:numPr>
          <w:ilvl w:val="0"/>
          <w:numId w:val="10"/>
        </w:numPr>
      </w:pPr>
      <w:r w:rsidRPr="000F74F4">
        <w:rPr>
          <w:b/>
          <w:bCs/>
        </w:rPr>
        <w:t>Identity vectors</w:t>
      </w:r>
      <w:r>
        <w:t xml:space="preserve"> activate attribution-aware and role-aware agents.</w:t>
      </w:r>
    </w:p>
    <w:p w14:paraId="115EA878" w14:textId="77777777" w:rsidR="000F74F4" w:rsidRDefault="000F74F4" w:rsidP="000F74F4">
      <w:pPr>
        <w:pStyle w:val="ListParagraph"/>
        <w:numPr>
          <w:ilvl w:val="0"/>
          <w:numId w:val="10"/>
        </w:numPr>
      </w:pPr>
      <w:r>
        <w:rPr>
          <w:b/>
          <w:bCs/>
        </w:rPr>
        <w:t>Industry vectors</w:t>
      </w:r>
      <w:r>
        <w:t xml:space="preserve"> activate the correct taxonomy, regulatory, and red-flag agent packs.</w:t>
      </w:r>
    </w:p>
    <w:p w14:paraId="7771AE4D" w14:textId="77777777" w:rsidR="000F74F4" w:rsidRDefault="000F74F4" w:rsidP="000F74F4">
      <w:pPr>
        <w:pStyle w:val="ListParagraph"/>
        <w:numPr>
          <w:ilvl w:val="0"/>
          <w:numId w:val="10"/>
        </w:numPr>
      </w:pPr>
      <w:r>
        <w:rPr>
          <w:b/>
          <w:bCs/>
        </w:rPr>
        <w:t>Use-case vectors</w:t>
      </w:r>
      <w:r>
        <w:t xml:space="preserve"> activate task-specific agents such as diligence, audit, compliance, reporting, or marketing agents.</w:t>
      </w:r>
    </w:p>
    <w:p w14:paraId="5F38AE57" w14:textId="77777777" w:rsidR="000F74F4" w:rsidRDefault="000F74F4" w:rsidP="000F74F4">
      <w:pPr>
        <w:pStyle w:val="ListParagraph"/>
        <w:numPr>
          <w:ilvl w:val="0"/>
          <w:numId w:val="10"/>
        </w:numPr>
      </w:pPr>
      <w:r>
        <w:rPr>
          <w:b/>
          <w:bCs/>
        </w:rPr>
        <w:t>Data-source vectors</w:t>
      </w:r>
      <w:r>
        <w:t xml:space="preserve"> restrict ingestion, indexing, OCR, extraction, and evidence-mapping agents to approved repositories only.</w:t>
      </w:r>
    </w:p>
    <w:p w14:paraId="1C852EE0" w14:textId="77777777" w:rsidR="000F74F4" w:rsidRDefault="000F74F4" w:rsidP="000F74F4">
      <w:pPr>
        <w:pStyle w:val="ListParagraph"/>
        <w:numPr>
          <w:ilvl w:val="0"/>
          <w:numId w:val="10"/>
        </w:numPr>
      </w:pPr>
      <w:r>
        <w:rPr>
          <w:b/>
          <w:bCs/>
        </w:rPr>
        <w:t>Workspace-mode vectors</w:t>
      </w:r>
      <w:r>
        <w:t xml:space="preserve"> determine whether agents operate in auditor, vault, reporting, repository, </w:t>
      </w:r>
      <w:proofErr w:type="spellStart"/>
      <w:r>
        <w:t>permissioning</w:t>
      </w:r>
      <w:proofErr w:type="spellEnd"/>
      <w:r>
        <w:t>, or chain-of-custody modes.</w:t>
      </w:r>
    </w:p>
    <w:p w14:paraId="3C641719" w14:textId="77777777" w:rsidR="000F74F4" w:rsidRDefault="000F74F4" w:rsidP="000F74F4">
      <w:pPr>
        <w:pStyle w:val="ListParagraph"/>
        <w:numPr>
          <w:ilvl w:val="0"/>
          <w:numId w:val="10"/>
        </w:numPr>
      </w:pPr>
      <w:r>
        <w:rPr>
          <w:b/>
          <w:bCs/>
        </w:rPr>
        <w:t>Jurisdiction vectors</w:t>
      </w:r>
      <w:r>
        <w:t xml:space="preserve"> activate applicable rule ceilings and compliance constraints.</w:t>
      </w:r>
    </w:p>
    <w:p w14:paraId="66D6FE1C" w14:textId="77777777" w:rsidR="000F74F4" w:rsidRDefault="000F74F4" w:rsidP="000F74F4">
      <w:pPr>
        <w:pStyle w:val="ListParagraph"/>
        <w:numPr>
          <w:ilvl w:val="0"/>
          <w:numId w:val="10"/>
        </w:numPr>
      </w:pPr>
      <w:r>
        <w:rPr>
          <w:b/>
          <w:bCs/>
        </w:rPr>
        <w:t>Role-management vectors</w:t>
      </w:r>
      <w:r>
        <w:t xml:space="preserve"> limit what each human or agent can read, modify, approve, export, or report.</w:t>
      </w:r>
    </w:p>
    <w:p w14:paraId="53F37BE9" w14:textId="77777777" w:rsidR="000F74F4" w:rsidRDefault="000F74F4">
      <w:pPr>
        <w:pStyle w:val="Heading2"/>
        <w:rPr>
          <w:rFonts w:asciiTheme="minorHAnsi" w:hAnsiTheme="minorHAnsi" w:cstheme="minorBidi"/>
        </w:rPr>
      </w:pPr>
      <w:r>
        <w:rPr>
          <w:rFonts w:asciiTheme="minorHAnsi" w:hAnsiTheme="minorHAnsi" w:cstheme="minorBidi"/>
        </w:rPr>
        <w:t>4. Runtime Boundary Enforcement</w:t>
      </w:r>
    </w:p>
    <w:p w14:paraId="7268BAE7" w14:textId="77777777" w:rsidR="000F74F4" w:rsidRDefault="000F74F4">
      <w:r>
        <w:t>At runtime, each requested task must be checked against the effective gate created by intersecting the workspace boundary with the agent’s role footprint. If the task fits inside the approved boundary, the agent may proceed. If the task exceeds the boundary, the runtime must classify the violation as SOFT or HARD and respond accordingly.</w:t>
      </w:r>
    </w:p>
    <w:p w14:paraId="69C754B7" w14:textId="77777777" w:rsidR="000F74F4" w:rsidRDefault="000F74F4" w:rsidP="000F74F4">
      <w:pPr>
        <w:pStyle w:val="ListParagraph"/>
        <w:numPr>
          <w:ilvl w:val="0"/>
          <w:numId w:val="11"/>
        </w:numPr>
      </w:pPr>
      <w:r w:rsidRPr="000F74F4">
        <w:rPr>
          <w:b/>
          <w:bCs/>
        </w:rPr>
        <w:lastRenderedPageBreak/>
        <w:t>ALLOW:</w:t>
      </w:r>
      <w:r>
        <w:t xml:space="preserve"> The task fits inside the approved boundary. The agent executes and produces a full receipt.</w:t>
      </w:r>
    </w:p>
    <w:p w14:paraId="1F09F09C" w14:textId="77777777" w:rsidR="000F74F4" w:rsidRDefault="000F74F4" w:rsidP="000F74F4">
      <w:pPr>
        <w:pStyle w:val="ListParagraph"/>
        <w:numPr>
          <w:ilvl w:val="0"/>
          <w:numId w:val="11"/>
        </w:numPr>
      </w:pPr>
      <w:r>
        <w:rPr>
          <w:b/>
          <w:bCs/>
        </w:rPr>
        <w:t>SOFT violation:</w:t>
      </w:r>
      <w:r>
        <w:t xml:space="preserve"> The agent may continue only with assumptions logged, confidence reduced, and review flags attached.</w:t>
      </w:r>
    </w:p>
    <w:p w14:paraId="5B605B60" w14:textId="77777777" w:rsidR="000F74F4" w:rsidRDefault="000F74F4" w:rsidP="000F74F4">
      <w:pPr>
        <w:pStyle w:val="ListParagraph"/>
        <w:numPr>
          <w:ilvl w:val="0"/>
          <w:numId w:val="11"/>
        </w:numPr>
      </w:pPr>
      <w:r>
        <w:rPr>
          <w:b/>
          <w:bCs/>
        </w:rPr>
        <w:t>HARD violation:</w:t>
      </w:r>
      <w:r>
        <w:t xml:space="preserve"> The agent must halt, seal the partial trace, explain the unresolved violation, and produce no signed final receipt.</w:t>
      </w:r>
    </w:p>
    <w:p w14:paraId="40A7C528" w14:textId="77777777" w:rsidR="000F74F4" w:rsidRDefault="000F74F4">
      <w:pPr>
        <w:pStyle w:val="Heading2"/>
        <w:rPr>
          <w:rFonts w:asciiTheme="minorHAnsi" w:hAnsiTheme="minorHAnsi" w:cstheme="minorBidi"/>
        </w:rPr>
      </w:pPr>
      <w:r>
        <w:rPr>
          <w:rFonts w:asciiTheme="minorHAnsi" w:hAnsiTheme="minorHAnsi" w:cstheme="minorBidi"/>
        </w:rPr>
        <w:t>5. Receipt Requirements</w:t>
      </w:r>
    </w:p>
    <w:p w14:paraId="4AA1E5B4" w14:textId="77777777" w:rsidR="000F74F4" w:rsidRDefault="000F74F4">
      <w:r>
        <w:t>Every valid agent output must produce a traceable receipt. The receipt should identify the agent, the task performed, the workspace boundary used, the approved inputs, the evidence relied on, assumptions made, confidence level, output produced, applicable file or page trace, and completion status.</w:t>
      </w:r>
    </w:p>
    <w:p w14:paraId="7FE26868" w14:textId="77777777" w:rsidR="000F74F4" w:rsidRDefault="000F74F4">
      <w:pPr>
        <w:pStyle w:val="Heading2"/>
        <w:rPr>
          <w:rFonts w:asciiTheme="minorHAnsi" w:hAnsiTheme="minorHAnsi" w:cstheme="minorBidi"/>
        </w:rPr>
      </w:pPr>
      <w:r>
        <w:rPr>
          <w:rFonts w:asciiTheme="minorHAnsi" w:hAnsiTheme="minorHAnsi" w:cstheme="minorBidi"/>
        </w:rPr>
        <w:t>6. Instruction for AI Agents</w:t>
      </w:r>
    </w:p>
    <w:p w14:paraId="16317EF4" w14:textId="77777777" w:rsidR="000F74F4" w:rsidRDefault="000F74F4">
      <w:r>
        <w:t>Before acting, determine whether the onboarding-derived Identity Graph authorizes the requested action. Activate only agents whose purpose, source scope, industry scope, workspace mode, jurisdiction, and role authority fit inside the graph. During execution, apply the runtime gate, classify outcomes as ALLOW, SOFT, or HARD, and return only outputs that can be supported by a valid receipt.</w:t>
      </w:r>
    </w:p>
    <w:p w14:paraId="0279546D" w14:textId="77777777" w:rsidR="000F74F4" w:rsidRDefault="000F74F4">
      <w:pPr>
        <w:pStyle w:val="Heading2"/>
        <w:rPr>
          <w:rFonts w:cstheme="minorBidi"/>
        </w:rPr>
      </w:pPr>
      <w:r>
        <w:rPr>
          <w:rFonts w:cstheme="minorBidi"/>
        </w:rPr>
        <w:t>7. Numeric Vectors as the AI Translation Layer</w:t>
      </w:r>
    </w:p>
    <w:p w14:paraId="76E4ACDE" w14:textId="77777777" w:rsidR="000F74F4" w:rsidRDefault="000F74F4">
      <w:r>
        <w:t>Numeric vectors are the way AI turns real-world information into numbers it can compare. A vector is a list of numbers that works like a coordinate location on a map. Instead of placing a city on a map, AI places words, documents, images, tasks, users, roles, and permissions in a mathematical space where similar things appear closer together.</w:t>
      </w:r>
    </w:p>
    <w:p w14:paraId="1E537373" w14:textId="77777777" w:rsidR="000F74F4" w:rsidRDefault="000F74F4">
      <w:r>
        <w:t>In simple terms, vectors let AI convert meaning into math. A phrase, document, role, or task becomes a numeric fingerprint. The AI can then measure whether two fingerprints are similar, related, unrelated, or outside the allowed operating area.</w:t>
      </w:r>
    </w:p>
    <w:p w14:paraId="73161D6E" w14:textId="77777777" w:rsidR="000F74F4" w:rsidRDefault="000F74F4">
      <w:r>
        <w:rPr>
          <w:b/>
          <w:bCs/>
        </w:rPr>
        <w:t>Simple analogy:</w:t>
      </w:r>
      <w:r>
        <w:t xml:space="preserve"> Numeric vectors are like GPS coordinates for meaning. Just as GPS coordinates tell a map where a place is, vectors tell AI where an idea, document, role, or task sits in relation to other ideas, documents, roles, and tasks.</w:t>
      </w:r>
    </w:p>
    <w:p w14:paraId="07AF34E3" w14:textId="77777777" w:rsidR="000F74F4" w:rsidRDefault="000F74F4">
      <w:pPr>
        <w:pStyle w:val="Heading2"/>
        <w:rPr>
          <w:rFonts w:cstheme="minorBidi"/>
        </w:rPr>
      </w:pPr>
      <w:r>
        <w:rPr>
          <w:rFonts w:cstheme="minorBidi"/>
        </w:rPr>
        <w:t>8. How Vector Boundaries Affect Agent Decisions</w:t>
      </w:r>
    </w:p>
    <w:p w14:paraId="0F636947" w14:textId="77777777" w:rsidR="000F74F4" w:rsidRDefault="000F74F4">
      <w:r>
        <w:t>Within IGL, onboarding choices create vector boundaries for the workspace. These boundaries define the safe operating zone for each AI agent. A requested task is also converted into a vector and compared against the approved boundaries for identity, role, matter, industry, jurisdiction, data source, workspace mode, and agent authority.</w:t>
      </w:r>
    </w:p>
    <w:p w14:paraId="49D5B4DC" w14:textId="77777777" w:rsidR="000F74F4" w:rsidRDefault="000F74F4" w:rsidP="000F74F4">
      <w:pPr>
        <w:pStyle w:val="ListParagraph"/>
        <w:numPr>
          <w:ilvl w:val="0"/>
          <w:numId w:val="12"/>
        </w:numPr>
      </w:pPr>
      <w:r w:rsidRPr="000F74F4">
        <w:rPr>
          <w:b/>
          <w:bCs/>
        </w:rPr>
        <w:lastRenderedPageBreak/>
        <w:t>Inside the boundary:</w:t>
      </w:r>
      <w:r>
        <w:t xml:space="preserve"> The task matches the approved scope, so the agent may proceed.</w:t>
      </w:r>
    </w:p>
    <w:p w14:paraId="268840DA" w14:textId="77777777" w:rsidR="000F74F4" w:rsidRDefault="000F74F4" w:rsidP="000F74F4">
      <w:pPr>
        <w:pStyle w:val="ListParagraph"/>
        <w:numPr>
          <w:ilvl w:val="0"/>
          <w:numId w:val="12"/>
        </w:numPr>
      </w:pPr>
      <w:r>
        <w:rPr>
          <w:b/>
          <w:bCs/>
        </w:rPr>
        <w:t>Near the boundary:</w:t>
      </w:r>
      <w:r>
        <w:t xml:space="preserve"> The task may proceed only with assumptions, reduced confidence, review flags, or human confirmation.</w:t>
      </w:r>
    </w:p>
    <w:p w14:paraId="542CB85F" w14:textId="77777777" w:rsidR="000F74F4" w:rsidRDefault="000F74F4" w:rsidP="000F74F4">
      <w:pPr>
        <w:pStyle w:val="ListParagraph"/>
        <w:numPr>
          <w:ilvl w:val="0"/>
          <w:numId w:val="12"/>
        </w:numPr>
      </w:pPr>
      <w:r>
        <w:rPr>
          <w:b/>
          <w:bCs/>
        </w:rPr>
        <w:t>Outside the boundary:</w:t>
      </w:r>
      <w:r>
        <w:t xml:space="preserve"> The agent must stop because the request exceeds its authorized scope.</w:t>
      </w:r>
    </w:p>
    <w:p w14:paraId="11B425A5" w14:textId="77777777" w:rsidR="000F74F4" w:rsidRDefault="000F74F4">
      <w:r>
        <w:t>This means AI agents do not decide based only on the wording of a prompt. They decide by checking whether the task’s vector fits inside the governed vector space created by onboarding, permissions, rules, and evidence. The vector boundary acts as a mathematical control layer that helps determine whether the agent should allow, limit, escalate, or block the action.</w:t>
      </w:r>
    </w:p>
    <w:p w14:paraId="193D27D1" w14:textId="77777777" w:rsidR="000F74F4" w:rsidRDefault="000F74F4">
      <w:pPr>
        <w:pStyle w:val="Heading2"/>
        <w:rPr>
          <w:rFonts w:cstheme="minorBidi"/>
        </w:rPr>
      </w:pPr>
      <w:r>
        <w:rPr>
          <w:rFonts w:cstheme="minorBidi"/>
        </w:rPr>
        <w:t>9. Examples of Vector Boundaries in AI Decisions</w:t>
      </w:r>
    </w:p>
    <w:p w14:paraId="439E82EF" w14:textId="77777777" w:rsidR="000F74F4" w:rsidRDefault="000F74F4" w:rsidP="000F74F4">
      <w:pPr>
        <w:pStyle w:val="ListParagraph"/>
        <w:numPr>
          <w:ilvl w:val="0"/>
          <w:numId w:val="13"/>
        </w:numPr>
      </w:pPr>
      <w:r w:rsidRPr="000F74F4">
        <w:rPr>
          <w:b/>
          <w:bCs/>
        </w:rPr>
        <w:t>Role boundary:</w:t>
      </w:r>
      <w:r>
        <w:t xml:space="preserve"> A reviewer may summarize approved diligence documents but may not approve final transaction findings.</w:t>
      </w:r>
    </w:p>
    <w:p w14:paraId="3311D9BA" w14:textId="77777777" w:rsidR="000F74F4" w:rsidRDefault="000F74F4" w:rsidP="000F74F4">
      <w:pPr>
        <w:pStyle w:val="ListParagraph"/>
        <w:numPr>
          <w:ilvl w:val="0"/>
          <w:numId w:val="13"/>
        </w:numPr>
      </w:pPr>
      <w:r>
        <w:rPr>
          <w:b/>
          <w:bCs/>
        </w:rPr>
        <w:t>Data-source boundary:</w:t>
      </w:r>
      <w:r>
        <w:t xml:space="preserve"> An agent may analyze files inside the approved workspace but must not pull from an unapproved repository.</w:t>
      </w:r>
    </w:p>
    <w:p w14:paraId="4EDA7250" w14:textId="77777777" w:rsidR="000F74F4" w:rsidRDefault="000F74F4" w:rsidP="000F74F4">
      <w:pPr>
        <w:pStyle w:val="ListParagraph"/>
        <w:numPr>
          <w:ilvl w:val="0"/>
          <w:numId w:val="13"/>
        </w:numPr>
      </w:pPr>
      <w:r>
        <w:rPr>
          <w:b/>
          <w:bCs/>
        </w:rPr>
        <w:t>Jurisdiction boundary:</w:t>
      </w:r>
      <w:r>
        <w:t xml:space="preserve"> A compliance agent may apply rules for the selected jurisdiction but must flag or stop if asked to apply rules outside that scope.</w:t>
      </w:r>
    </w:p>
    <w:p w14:paraId="2D603451" w14:textId="77777777" w:rsidR="000F74F4" w:rsidRDefault="000F74F4" w:rsidP="000F74F4">
      <w:pPr>
        <w:pStyle w:val="ListParagraph"/>
        <w:numPr>
          <w:ilvl w:val="0"/>
          <w:numId w:val="13"/>
        </w:numPr>
      </w:pPr>
      <w:r>
        <w:rPr>
          <w:b/>
          <w:bCs/>
        </w:rPr>
        <w:t>Use-case boundary:</w:t>
      </w:r>
      <w:r>
        <w:t xml:space="preserve"> A diligence agent may extract risks from contracts but should not generate marketing claims unless that use case is authorized.</w:t>
      </w:r>
    </w:p>
    <w:p w14:paraId="5EC3C551" w14:textId="77777777" w:rsidR="000F74F4" w:rsidRDefault="000F74F4" w:rsidP="000F74F4">
      <w:pPr>
        <w:pStyle w:val="ListParagraph"/>
        <w:numPr>
          <w:ilvl w:val="0"/>
          <w:numId w:val="13"/>
        </w:numPr>
      </w:pPr>
      <w:r>
        <w:rPr>
          <w:b/>
          <w:bCs/>
        </w:rPr>
        <w:t>Permission boundary:</w:t>
      </w:r>
      <w:r>
        <w:t xml:space="preserve"> An agent may read confidential documents only if the user, workspace, and task all permit that access.</w:t>
      </w:r>
    </w:p>
    <w:p w14:paraId="77A5846C" w14:textId="77777777" w:rsidR="000F74F4" w:rsidRDefault="000F74F4">
      <w:pPr>
        <w:pStyle w:val="Heading2"/>
        <w:rPr>
          <w:rFonts w:cstheme="minorBidi"/>
        </w:rPr>
      </w:pPr>
      <w:r>
        <w:rPr>
          <w:rFonts w:cstheme="minorBidi"/>
        </w:rPr>
        <w:t>10. Why Vector Boundaries Matter for Security</w:t>
      </w:r>
    </w:p>
    <w:p w14:paraId="4D6C3D0E" w14:textId="77777777" w:rsidR="000F74F4" w:rsidRDefault="000F74F4">
      <w:r>
        <w:t xml:space="preserve">Vector boundaries matter because they give AI a mathematical way to enforce </w:t>
      </w:r>
      <w:proofErr w:type="gramStart"/>
      <w:r>
        <w:t>least-privilege</w:t>
      </w:r>
      <w:proofErr w:type="gramEnd"/>
      <w:r>
        <w:t xml:space="preserve"> access. Instead of allowing an agent to act on any prompt it receives, the system checks whether the request fits the approved identity, role, data, jurisdiction, and task boundaries. This helps prevent unauthorized access, accidental disclosure, prompt misuse, cross-workspace leakage, and actions that exceed the agent’s authority.</w:t>
      </w:r>
    </w:p>
    <w:p w14:paraId="3198D9C2" w14:textId="77777777" w:rsidR="000F74F4" w:rsidRDefault="000F74F4">
      <w:pPr>
        <w:pStyle w:val="Heading2"/>
        <w:rPr>
          <w:rFonts w:cstheme="minorBidi"/>
        </w:rPr>
      </w:pPr>
      <w:r>
        <w:rPr>
          <w:rFonts w:cstheme="minorBidi"/>
        </w:rPr>
        <w:t>11. How Vectors Guide AI Agent Actions</w:t>
      </w:r>
    </w:p>
    <w:p w14:paraId="6774872F" w14:textId="77777777" w:rsidR="000F74F4" w:rsidRDefault="000F74F4">
      <w:r>
        <w:t>Vectors guide AI agents by translating the user, task, document, permission, and workspace context into comparable numeric signals. The agent then uses those signals to decide whether to act, limit the response, request review, or stop. In IGL, vectors function as both a meaning engine and a control layer: they help the AI understand what is being requested and determine whether the request is allowed inside the governed boundary.</w:t>
      </w:r>
    </w:p>
    <w:p w14:paraId="378C5431" w14:textId="77777777" w:rsidR="00044C72" w:rsidRDefault="00044C72">
      <w:pPr>
        <w:pStyle w:val="Heading2"/>
        <w:rPr>
          <w:rFonts w:cstheme="minorBidi"/>
        </w:rPr>
      </w:pPr>
      <w:r>
        <w:rPr>
          <w:rFonts w:cstheme="minorBidi"/>
        </w:rPr>
        <w:lastRenderedPageBreak/>
        <w:t>12. Universal Decoding Matrix Summary</w:t>
      </w:r>
    </w:p>
    <w:p w14:paraId="48E0708C" w14:textId="77777777" w:rsidR="00044C72" w:rsidRDefault="00044C72">
      <w:r>
        <w:t>The Universal Decoding Matrix is the computational layer that converts an Identity Graph boundary or footprint into a governed numeric output. That output becomes an AI-readable vector boundary equation that defines what the agent may learn from, reason over, act on, repeat, or block.</w:t>
      </w:r>
    </w:p>
    <w:p w14:paraId="43EE169F" w14:textId="77777777" w:rsidR="00044C72" w:rsidRDefault="00044C72">
      <w:pPr>
        <w:pStyle w:val="Heading2"/>
        <w:rPr>
          <w:rFonts w:cstheme="minorBidi"/>
        </w:rPr>
      </w:pPr>
      <w:r>
        <w:rPr>
          <w:rFonts w:cstheme="minorBidi"/>
        </w:rPr>
        <w:t>13. Recursive Learning Within Boundaries</w:t>
      </w:r>
    </w:p>
    <w:p w14:paraId="34BFCC54" w14:textId="77777777" w:rsidR="00044C72" w:rsidRDefault="00044C72">
      <w:r>
        <w:t>Recursive learning means an AI agent can improve by repeatedly using prior outputs, receipts, evidence, and feedback as inputs for the next decision cycle. In IGL, this loop is not open-ended. The agent may learn and train only inside the computed Identity Graph boundary, so each cycle remains constrained by approved identity, role, permission, source, evidence, jurisdiction, and governance rules.</w:t>
      </w:r>
    </w:p>
    <w:p w14:paraId="1FDBD98D" w14:textId="77777777" w:rsidR="00044C72" w:rsidRDefault="00044C72">
      <w:pPr>
        <w:pStyle w:val="Heading2"/>
        <w:rPr>
          <w:rFonts w:cstheme="minorBidi"/>
        </w:rPr>
      </w:pPr>
      <w:r>
        <w:rPr>
          <w:rFonts w:cstheme="minorBidi"/>
        </w:rPr>
        <w:t>14. Concise AI Instruction</w:t>
      </w:r>
    </w:p>
    <w:p w14:paraId="4611AEAF" w14:textId="77777777" w:rsidR="00044C72" w:rsidRDefault="00044C72">
      <w:r>
        <w:t xml:space="preserve">Compute each Identity Graph boundary or footprint inside the Universal Decoding Matrix as a governed numeric vector equation. Use that equation to define the AI agent’s authorized learning, reasoning, training, execution, and receipt loop. Permit recursive autonomous operation only when each cycle remains inside the computed boundary; </w:t>
      </w:r>
      <w:proofErr w:type="gramStart"/>
      <w:r>
        <w:t>otherwise</w:t>
      </w:r>
      <w:proofErr w:type="gramEnd"/>
      <w:r>
        <w:t xml:space="preserve"> limit, escalate, or halt the action according to the applicable governance rule.</w:t>
      </w:r>
    </w:p>
    <w:p w14:paraId="504AA92A" w14:textId="683C609E" w:rsidR="00CB078B" w:rsidRDefault="00CB078B" w:rsidP="00CB078B">
      <w:pPr>
        <w:pStyle w:val="Heading1"/>
        <w:rPr>
          <w:rFonts w:cstheme="minorBidi"/>
        </w:rPr>
      </w:pPr>
      <w:proofErr w:type="gramStart"/>
      <w:r w:rsidRPr="009B78F9">
        <w:rPr>
          <w:rFonts w:cstheme="minorBidi"/>
        </w:rPr>
        <w:t xml:space="preserve">VDRPros.com </w:t>
      </w:r>
      <w:r>
        <w:rPr>
          <w:rFonts w:cstheme="minorBidi"/>
        </w:rPr>
        <w:t xml:space="preserve"> (</w:t>
      </w:r>
      <w:proofErr w:type="gramEnd"/>
      <w:r>
        <w:rPr>
          <w:rFonts w:cstheme="minorBidi"/>
        </w:rPr>
        <w:t>USE CASE)</w:t>
      </w:r>
      <w:r>
        <w:rPr>
          <w:rFonts w:cstheme="minorBidi"/>
        </w:rPr>
        <w:br/>
      </w:r>
      <w:r w:rsidRPr="009B78F9">
        <w:rPr>
          <w:rFonts w:cstheme="minorBidi"/>
        </w:rPr>
        <w:t>Agent Identity Graph &amp; Swarm Governance Blueprint</w:t>
      </w:r>
    </w:p>
    <w:p w14:paraId="5B48914A" w14:textId="77777777" w:rsidR="00CB078B" w:rsidRDefault="00CB078B" w:rsidP="00CB078B">
      <w:pPr>
        <w:pStyle w:val="Subtitle"/>
        <w:rPr>
          <w:rFonts w:cstheme="minorBidi"/>
        </w:rPr>
      </w:pPr>
      <w:r w:rsidRPr="003B5E26">
        <w:t>Purpose: define the agent identities, execution boundaries, focus domains, and sole purposes that govern how swarm agents research, market, develop, and implement VDRPros.com.</w:t>
      </w:r>
    </w:p>
    <w:p w14:paraId="09FAA658" w14:textId="77777777" w:rsidR="00CB078B" w:rsidRDefault="00CB078B" w:rsidP="00CB078B">
      <w:pPr>
        <w:pStyle w:val="Heading2"/>
        <w:rPr>
          <w:rFonts w:cstheme="minorBidi"/>
        </w:rPr>
      </w:pPr>
      <w:r>
        <w:rPr>
          <w:rFonts w:cstheme="minorBidi"/>
        </w:rPr>
        <w:t>0. Identity Graph Doctrine</w:t>
      </w:r>
    </w:p>
    <w:p w14:paraId="6FCC2501" w14:textId="77777777" w:rsidR="00CB078B" w:rsidRDefault="00CB078B" w:rsidP="00CB078B">
      <w:r>
        <w:t>This document is the structured blueprint that determines what types of agents exist, where each agent is allowed to focus, and what each agent’s sole purpose is within the VDRPros.com effort. When transformed into Markdown, it becomes the agent Identity Graph: a governed boundary map that defines the nodes, edges, dimensions, constraints, outputs, and non-negotiable execution rules for the swarm.</w:t>
      </w:r>
    </w:p>
    <w:p w14:paraId="05B4898F" w14:textId="77777777" w:rsidR="00CB078B" w:rsidRDefault="00CB078B" w:rsidP="00CB078B">
      <w:r>
        <w:t xml:space="preserve">The Identity Graph does not create one universal authority score. Each agent is governed by typed vectors: purpose, focus domain, permitted actions, prohibited drift, evidence confidence, strictness, and runtime outcome. Agent permission </w:t>
      </w:r>
      <w:proofErr w:type="gramStart"/>
      <w:r>
        <w:t>composes</w:t>
      </w:r>
      <w:proofErr w:type="gramEnd"/>
      <w:r>
        <w:t xml:space="preserve"> by intersection, </w:t>
      </w:r>
      <w:r>
        <w:lastRenderedPageBreak/>
        <w:t>not amplification. If a requested task exceeds an agent’s boundary, the agent must halt, seal the partial trace, and return no implementation output for that task.</w:t>
      </w:r>
    </w:p>
    <w:p w14:paraId="7A0DDF87" w14:textId="77777777" w:rsidR="00CB078B" w:rsidRDefault="00CB078B" w:rsidP="00CB078B">
      <w:pPr>
        <w:pStyle w:val="Heading2"/>
        <w:rPr>
          <w:rFonts w:cstheme="minorBidi"/>
        </w:rPr>
      </w:pPr>
      <w:r>
        <w:rPr>
          <w:rFonts w:cstheme="minorBidi"/>
        </w:rPr>
        <w:t>0.1 Native IGL Boundary Model Applied to VDRPros Agents</w:t>
      </w:r>
    </w:p>
    <w:tbl>
      <w:tblPr>
        <w:tblStyle w:val="GridTable4-Accent1"/>
        <w:tblW w:w="5000" w:type="pct"/>
        <w:tblLook w:val="04A0" w:firstRow="1" w:lastRow="0" w:firstColumn="1" w:lastColumn="0" w:noHBand="0" w:noVBand="1"/>
      </w:tblPr>
      <w:tblGrid>
        <w:gridCol w:w="1856"/>
        <w:gridCol w:w="3997"/>
        <w:gridCol w:w="3497"/>
      </w:tblGrid>
      <w:tr w:rsidR="00CB078B" w14:paraId="1442C1FD"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5412C" w14:textId="77777777" w:rsidR="00CB078B" w:rsidRDefault="00CB078B" w:rsidP="00445254">
            <w:pPr>
              <w:spacing w:after="160"/>
            </w:pPr>
            <w:r>
              <w:t>IGL Concept</w:t>
            </w:r>
          </w:p>
        </w:tc>
        <w:tc>
          <w:tcPr>
            <w:tcW w:w="0" w:type="auto"/>
            <w:hideMark/>
          </w:tcPr>
          <w:p w14:paraId="58E1E3AA"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VDRPros Agent Interpretation</w:t>
            </w:r>
          </w:p>
        </w:tc>
        <w:tc>
          <w:tcPr>
            <w:tcW w:w="0" w:type="auto"/>
            <w:hideMark/>
          </w:tcPr>
          <w:p w14:paraId="6CE7D0D1"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Non-Negotiable Rule</w:t>
            </w:r>
          </w:p>
        </w:tc>
      </w:tr>
      <w:tr w:rsidR="00CB078B" w14:paraId="6B99E9BE"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8B54A" w14:textId="77777777" w:rsidR="00CB078B" w:rsidRDefault="00CB078B" w:rsidP="00445254">
            <w:pPr>
              <w:spacing w:after="160"/>
            </w:pPr>
            <w:r>
              <w:t xml:space="preserve">Company boundary </w:t>
            </w:r>
            <w:proofErr w:type="spellStart"/>
            <w:r>
              <w:t>C_d</w:t>
            </w:r>
            <w:proofErr w:type="spellEnd"/>
          </w:p>
        </w:tc>
        <w:tc>
          <w:tcPr>
            <w:tcW w:w="0" w:type="auto"/>
            <w:hideMark/>
          </w:tcPr>
          <w:p w14:paraId="2EEFC26F"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strategic, product, marketing, security, and implementation ceilings established by VDRPros leadership and this blueprint.</w:t>
            </w:r>
          </w:p>
        </w:tc>
        <w:tc>
          <w:tcPr>
            <w:tcW w:w="0" w:type="auto"/>
            <w:hideMark/>
          </w:tcPr>
          <w:p w14:paraId="3F02DB0A"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No agent may expand the project scope beyond the current VDRPros transaction-platform mission without explicit authorization.</w:t>
            </w:r>
          </w:p>
        </w:tc>
      </w:tr>
      <w:tr w:rsidR="00CB078B" w14:paraId="68187FA5"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0AA9196F" w14:textId="77777777" w:rsidR="00CB078B" w:rsidRDefault="00CB078B" w:rsidP="00445254">
            <w:pPr>
              <w:spacing w:after="160"/>
            </w:pPr>
            <w:r>
              <w:t xml:space="preserve">Individual footprint </w:t>
            </w:r>
            <w:proofErr w:type="spellStart"/>
            <w:r>
              <w:t>P_d</w:t>
            </w:r>
            <w:proofErr w:type="spellEnd"/>
          </w:p>
        </w:tc>
        <w:tc>
          <w:tcPr>
            <w:tcW w:w="0" w:type="auto"/>
            <w:hideMark/>
          </w:tcPr>
          <w:p w14:paraId="14417119"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The specific authority granted to each agent role, such as research, SEO, copywriting, product planning, implementation planning, or security review.</w:t>
            </w:r>
          </w:p>
        </w:tc>
        <w:tc>
          <w:tcPr>
            <w:tcW w:w="0" w:type="auto"/>
            <w:hideMark/>
          </w:tcPr>
          <w:p w14:paraId="2D9C8148"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An agent may only act inside its assigned role and purpose vector.</w:t>
            </w:r>
          </w:p>
        </w:tc>
      </w:tr>
      <w:tr w:rsidR="00CB078B" w14:paraId="084D133E"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5CAA4" w14:textId="77777777" w:rsidR="00CB078B" w:rsidRDefault="00CB078B" w:rsidP="00445254">
            <w:pPr>
              <w:spacing w:after="160"/>
            </w:pPr>
            <w:r>
              <w:t xml:space="preserve">Effective gate </w:t>
            </w:r>
            <w:proofErr w:type="spellStart"/>
            <w:r>
              <w:t>τ_d</w:t>
            </w:r>
            <w:proofErr w:type="spellEnd"/>
            <w:r>
              <w:t xml:space="preserve"> = </w:t>
            </w:r>
            <w:proofErr w:type="gramStart"/>
            <w:r>
              <w:t>MIN(</w:t>
            </w:r>
            <w:proofErr w:type="spellStart"/>
            <w:proofErr w:type="gramEnd"/>
            <w:r>
              <w:t>C_d</w:t>
            </w:r>
            <w:proofErr w:type="spellEnd"/>
            <w:r>
              <w:t xml:space="preserve">, </w:t>
            </w:r>
            <w:proofErr w:type="spellStart"/>
            <w:r>
              <w:t>P_d</w:t>
            </w:r>
            <w:proofErr w:type="spellEnd"/>
            <w:r>
              <w:t>)</w:t>
            </w:r>
          </w:p>
        </w:tc>
        <w:tc>
          <w:tcPr>
            <w:tcW w:w="0" w:type="auto"/>
            <w:hideMark/>
          </w:tcPr>
          <w:p w14:paraId="209BA60F"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execution boundary produced by intersecting the project ceiling with the agent’s role authority.</w:t>
            </w:r>
          </w:p>
        </w:tc>
        <w:tc>
          <w:tcPr>
            <w:tcW w:w="0" w:type="auto"/>
            <w:hideMark/>
          </w:tcPr>
          <w:p w14:paraId="0E3E54EF"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If a task demand exceeds the effective gate, the agent must halt or attenuate according to strictness.</w:t>
            </w:r>
          </w:p>
        </w:tc>
      </w:tr>
      <w:tr w:rsidR="00CB078B" w14:paraId="1569E470"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0FE7F0C4" w14:textId="77777777" w:rsidR="00CB078B" w:rsidRDefault="00CB078B" w:rsidP="00445254">
            <w:pPr>
              <w:spacing w:after="160"/>
            </w:pPr>
            <w:r>
              <w:t>HARD strictness</w:t>
            </w:r>
          </w:p>
        </w:tc>
        <w:tc>
          <w:tcPr>
            <w:tcW w:w="0" w:type="auto"/>
            <w:hideMark/>
          </w:tcPr>
          <w:p w14:paraId="500C4E5E"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Applies to security, compliance, pricing claims, legal claims, cryptographic claims, and product architecture claims.</w:t>
            </w:r>
          </w:p>
        </w:tc>
        <w:tc>
          <w:tcPr>
            <w:tcW w:w="0" w:type="auto"/>
            <w:hideMark/>
          </w:tcPr>
          <w:p w14:paraId="03274AB6"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Unsupported hard claims must stop. The agent must not improvise authority or invent proof.</w:t>
            </w:r>
          </w:p>
        </w:tc>
      </w:tr>
      <w:tr w:rsidR="00CB078B" w14:paraId="7EAEFFD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D58A3" w14:textId="77777777" w:rsidR="00CB078B" w:rsidRDefault="00CB078B" w:rsidP="00445254">
            <w:pPr>
              <w:spacing w:after="160"/>
            </w:pPr>
            <w:r>
              <w:t>SOFT strictness</w:t>
            </w:r>
          </w:p>
        </w:tc>
        <w:tc>
          <w:tcPr>
            <w:tcW w:w="0" w:type="auto"/>
            <w:hideMark/>
          </w:tcPr>
          <w:p w14:paraId="6FEE1551"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proofErr w:type="gramStart"/>
            <w:r>
              <w:t>Applies</w:t>
            </w:r>
            <w:proofErr w:type="gramEnd"/>
            <w:r>
              <w:t xml:space="preserve"> to marketing tone, keyword priority, page layout, persona emphasis, and campaign sequencing.</w:t>
            </w:r>
          </w:p>
        </w:tc>
        <w:tc>
          <w:tcPr>
            <w:tcW w:w="0" w:type="auto"/>
            <w:hideMark/>
          </w:tcPr>
          <w:p w14:paraId="1BB4B5CB"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agent may continue, but must flag uncertainty, log assumptions, and attenuate confidence.</w:t>
            </w:r>
          </w:p>
        </w:tc>
      </w:tr>
      <w:tr w:rsidR="00CB078B" w14:paraId="521351F3"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1A99C5CE" w14:textId="77777777" w:rsidR="00CB078B" w:rsidRDefault="00CB078B" w:rsidP="00445254">
            <w:pPr>
              <w:spacing w:after="160"/>
            </w:pPr>
            <w:r>
              <w:t>Confidence q</w:t>
            </w:r>
          </w:p>
        </w:tc>
        <w:tc>
          <w:tcPr>
            <w:tcW w:w="0" w:type="auto"/>
            <w:hideMark/>
          </w:tcPr>
          <w:p w14:paraId="18463C7E"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Evidence quality attached to research, competitor claims, persona assumptions, and product feasibility.</w:t>
            </w:r>
          </w:p>
        </w:tc>
        <w:tc>
          <w:tcPr>
            <w:tcW w:w="0" w:type="auto"/>
            <w:hideMark/>
          </w:tcPr>
          <w:p w14:paraId="598B5A48"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Confidence is a review signal, not a permission ceiling.</w:t>
            </w:r>
          </w:p>
        </w:tc>
      </w:tr>
      <w:tr w:rsidR="00CB078B" w14:paraId="2B29AF1B"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BB04B" w14:textId="77777777" w:rsidR="00CB078B" w:rsidRDefault="00CB078B" w:rsidP="00445254">
            <w:pPr>
              <w:spacing w:after="160"/>
            </w:pPr>
            <w:r>
              <w:t>Receipt</w:t>
            </w:r>
          </w:p>
        </w:tc>
        <w:tc>
          <w:tcPr>
            <w:tcW w:w="0" w:type="auto"/>
            <w:hideMark/>
          </w:tcPr>
          <w:p w14:paraId="6EE6FEFE"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agent’s final output: cited findings, prompt, copy, roadmap, checklist, matrix, or review note.</w:t>
            </w:r>
          </w:p>
        </w:tc>
        <w:tc>
          <w:tcPr>
            <w:tcW w:w="0" w:type="auto"/>
            <w:hideMark/>
          </w:tcPr>
          <w:p w14:paraId="2ED136A2"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No signed receipt is produced for unresolved HARD violations.</w:t>
            </w:r>
          </w:p>
        </w:tc>
      </w:tr>
    </w:tbl>
    <w:p w14:paraId="792F78DF" w14:textId="77777777" w:rsidR="00CB078B" w:rsidRDefault="00CB078B" w:rsidP="00CB078B"/>
    <w:p w14:paraId="2D3CE997" w14:textId="77777777" w:rsidR="00CB078B" w:rsidRDefault="00CB078B" w:rsidP="00CB078B">
      <w:pPr>
        <w:pStyle w:val="Heading2"/>
        <w:rPr>
          <w:rFonts w:cstheme="minorBidi"/>
        </w:rPr>
      </w:pPr>
      <w:r>
        <w:rPr>
          <w:rFonts w:cstheme="minorBidi"/>
        </w:rPr>
        <w:lastRenderedPageBreak/>
        <w:t>0.2 Markdown Identity Graph Schema</w:t>
      </w:r>
    </w:p>
    <w:p w14:paraId="14DA12F6" w14:textId="77777777" w:rsidR="00CB078B" w:rsidRDefault="00CB078B" w:rsidP="00CB078B">
      <w:r>
        <w:t>When exported to Markdown, each agent should be represented as a governed node using this schema: Agent ID, Agent Type, Sole Purpose, Focus Domain, Allowed Inputs, Required Outputs, Hard Boundaries, Soft Boundaries, Evidence Requirements, Runtime Gate, Failure Mode, and Receipt Format.</w:t>
      </w:r>
    </w:p>
    <w:tbl>
      <w:tblPr>
        <w:tblStyle w:val="GridTable4-Accent1"/>
        <w:tblW w:w="5000" w:type="pct"/>
        <w:tblLook w:val="04A0" w:firstRow="1" w:lastRow="0" w:firstColumn="1" w:lastColumn="0" w:noHBand="0" w:noVBand="1"/>
      </w:tblPr>
      <w:tblGrid>
        <w:gridCol w:w="2099"/>
        <w:gridCol w:w="7251"/>
      </w:tblGrid>
      <w:tr w:rsidR="00CB078B" w14:paraId="6E3BA79B"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61753" w14:textId="77777777" w:rsidR="00CB078B" w:rsidRDefault="00CB078B" w:rsidP="00445254">
            <w:pPr>
              <w:spacing w:after="160"/>
            </w:pPr>
            <w:r>
              <w:t>Markdown Field</w:t>
            </w:r>
          </w:p>
        </w:tc>
        <w:tc>
          <w:tcPr>
            <w:tcW w:w="0" w:type="auto"/>
            <w:hideMark/>
          </w:tcPr>
          <w:p w14:paraId="23898839"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Purpose</w:t>
            </w:r>
          </w:p>
        </w:tc>
      </w:tr>
      <w:tr w:rsidR="00CB078B" w14:paraId="0296063F"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C84B" w14:textId="77777777" w:rsidR="00CB078B" w:rsidRDefault="00CB078B" w:rsidP="00445254">
            <w:pPr>
              <w:spacing w:after="160"/>
            </w:pPr>
            <w:proofErr w:type="spellStart"/>
            <w:r>
              <w:t>agent_id</w:t>
            </w:r>
            <w:proofErr w:type="spellEnd"/>
          </w:p>
        </w:tc>
        <w:tc>
          <w:tcPr>
            <w:tcW w:w="0" w:type="auto"/>
            <w:hideMark/>
          </w:tcPr>
          <w:p w14:paraId="03A596C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Stable node identifier used by the swarm graph.</w:t>
            </w:r>
          </w:p>
        </w:tc>
      </w:tr>
      <w:tr w:rsidR="00CB078B" w14:paraId="7296BBBE"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507A5577" w14:textId="77777777" w:rsidR="00CB078B" w:rsidRDefault="00CB078B" w:rsidP="00445254">
            <w:pPr>
              <w:spacing w:after="160"/>
            </w:pPr>
            <w:proofErr w:type="spellStart"/>
            <w:r>
              <w:t>agent_type</w:t>
            </w:r>
            <w:proofErr w:type="spellEnd"/>
          </w:p>
        </w:tc>
        <w:tc>
          <w:tcPr>
            <w:tcW w:w="0" w:type="auto"/>
            <w:hideMark/>
          </w:tcPr>
          <w:p w14:paraId="002DA81B"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Functional role, such as market researcher, SEO strategist, product planner, or security reviewer.</w:t>
            </w:r>
          </w:p>
        </w:tc>
      </w:tr>
      <w:tr w:rsidR="00CB078B" w14:paraId="123ACFF9"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D611D" w14:textId="77777777" w:rsidR="00CB078B" w:rsidRDefault="00CB078B" w:rsidP="00445254">
            <w:pPr>
              <w:spacing w:after="160"/>
            </w:pPr>
            <w:proofErr w:type="spellStart"/>
            <w:r>
              <w:t>sole_purpose</w:t>
            </w:r>
            <w:proofErr w:type="spellEnd"/>
          </w:p>
        </w:tc>
        <w:tc>
          <w:tcPr>
            <w:tcW w:w="0" w:type="auto"/>
            <w:hideMark/>
          </w:tcPr>
          <w:p w14:paraId="6573456A"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one outcome this agent exists to produce.</w:t>
            </w:r>
          </w:p>
        </w:tc>
      </w:tr>
      <w:tr w:rsidR="00CB078B" w14:paraId="018ABD70"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75493C79" w14:textId="77777777" w:rsidR="00CB078B" w:rsidRDefault="00CB078B" w:rsidP="00445254">
            <w:pPr>
              <w:spacing w:after="160"/>
            </w:pPr>
            <w:proofErr w:type="spellStart"/>
            <w:r>
              <w:t>focus_domain</w:t>
            </w:r>
            <w:proofErr w:type="spellEnd"/>
          </w:p>
        </w:tc>
        <w:tc>
          <w:tcPr>
            <w:tcW w:w="0" w:type="auto"/>
            <w:hideMark/>
          </w:tcPr>
          <w:p w14:paraId="15A1F6EE"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The topic boundary where the agent is allowed to operate.</w:t>
            </w:r>
          </w:p>
        </w:tc>
      </w:tr>
      <w:tr w:rsidR="00CB078B" w14:paraId="297CB6CF"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23546" w14:textId="77777777" w:rsidR="00CB078B" w:rsidRDefault="00CB078B" w:rsidP="00445254">
            <w:pPr>
              <w:spacing w:after="160"/>
            </w:pPr>
            <w:proofErr w:type="spellStart"/>
            <w:r>
              <w:t>allowed_inputs</w:t>
            </w:r>
            <w:proofErr w:type="spellEnd"/>
          </w:p>
        </w:tc>
        <w:tc>
          <w:tcPr>
            <w:tcW w:w="0" w:type="auto"/>
            <w:hideMark/>
          </w:tcPr>
          <w:p w14:paraId="7E12921F"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Permitted source material and context.</w:t>
            </w:r>
          </w:p>
        </w:tc>
      </w:tr>
      <w:tr w:rsidR="00CB078B" w14:paraId="7343BEAF"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307DED4E" w14:textId="77777777" w:rsidR="00CB078B" w:rsidRDefault="00CB078B" w:rsidP="00445254">
            <w:pPr>
              <w:spacing w:after="160"/>
            </w:pPr>
            <w:proofErr w:type="spellStart"/>
            <w:r>
              <w:t>required_outputs</w:t>
            </w:r>
            <w:proofErr w:type="spellEnd"/>
          </w:p>
        </w:tc>
        <w:tc>
          <w:tcPr>
            <w:tcW w:w="0" w:type="auto"/>
            <w:hideMark/>
          </w:tcPr>
          <w:p w14:paraId="6A059576"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Deliverables the agent must produce.</w:t>
            </w:r>
          </w:p>
        </w:tc>
      </w:tr>
      <w:tr w:rsidR="00CB078B" w14:paraId="6AC16CA6"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73238" w14:textId="77777777" w:rsidR="00CB078B" w:rsidRDefault="00CB078B" w:rsidP="00445254">
            <w:pPr>
              <w:spacing w:after="160"/>
            </w:pPr>
            <w:proofErr w:type="spellStart"/>
            <w:r>
              <w:t>hard_boundaries</w:t>
            </w:r>
            <w:proofErr w:type="spellEnd"/>
          </w:p>
        </w:tc>
        <w:tc>
          <w:tcPr>
            <w:tcW w:w="0" w:type="auto"/>
            <w:hideMark/>
          </w:tcPr>
          <w:p w14:paraId="0E4E3E8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Claims, actions, or topics the agent must not exceed.</w:t>
            </w:r>
          </w:p>
        </w:tc>
      </w:tr>
      <w:tr w:rsidR="00CB078B" w14:paraId="7A4E84E7"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19721192" w14:textId="77777777" w:rsidR="00CB078B" w:rsidRDefault="00CB078B" w:rsidP="00445254">
            <w:pPr>
              <w:spacing w:after="160"/>
            </w:pPr>
            <w:proofErr w:type="spellStart"/>
            <w:r>
              <w:t>soft_boundaries</w:t>
            </w:r>
            <w:proofErr w:type="spellEnd"/>
          </w:p>
        </w:tc>
        <w:tc>
          <w:tcPr>
            <w:tcW w:w="0" w:type="auto"/>
            <w:hideMark/>
          </w:tcPr>
          <w:p w14:paraId="4818CBC8"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Areas where the agent may continue with uncertainty logging.</w:t>
            </w:r>
          </w:p>
        </w:tc>
      </w:tr>
      <w:tr w:rsidR="00CB078B" w14:paraId="50FF68C2"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D9C89" w14:textId="77777777" w:rsidR="00CB078B" w:rsidRDefault="00CB078B" w:rsidP="00445254">
            <w:pPr>
              <w:spacing w:after="160"/>
            </w:pPr>
            <w:proofErr w:type="spellStart"/>
            <w:r>
              <w:t>runtime_gate</w:t>
            </w:r>
            <w:proofErr w:type="spellEnd"/>
          </w:p>
        </w:tc>
        <w:tc>
          <w:tcPr>
            <w:tcW w:w="0" w:type="auto"/>
            <w:hideMark/>
          </w:tcPr>
          <w:p w14:paraId="097B0F1C"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Decision </w:t>
            </w:r>
            <w:proofErr w:type="gramStart"/>
            <w:r>
              <w:t>rule</w:t>
            </w:r>
            <w:proofErr w:type="gramEnd"/>
            <w:r>
              <w:t xml:space="preserve"> for </w:t>
            </w:r>
            <w:proofErr w:type="gramStart"/>
            <w:r>
              <w:t>allow</w:t>
            </w:r>
            <w:proofErr w:type="gramEnd"/>
            <w:r>
              <w:t xml:space="preserve">, </w:t>
            </w:r>
            <w:proofErr w:type="gramStart"/>
            <w:r>
              <w:t>attenuate</w:t>
            </w:r>
            <w:proofErr w:type="gramEnd"/>
            <w:r>
              <w:t>, or halt.</w:t>
            </w:r>
          </w:p>
        </w:tc>
      </w:tr>
      <w:tr w:rsidR="00CB078B" w14:paraId="06550271"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7162AE2B" w14:textId="77777777" w:rsidR="00CB078B" w:rsidRDefault="00CB078B" w:rsidP="00445254">
            <w:pPr>
              <w:spacing w:after="160"/>
            </w:pPr>
            <w:proofErr w:type="spellStart"/>
            <w:r>
              <w:t>receipt_format</w:t>
            </w:r>
            <w:proofErr w:type="spellEnd"/>
          </w:p>
        </w:tc>
        <w:tc>
          <w:tcPr>
            <w:tcW w:w="0" w:type="auto"/>
            <w:hideMark/>
          </w:tcPr>
          <w:p w14:paraId="71C0A3B3"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The exact form of the final agent output.</w:t>
            </w:r>
          </w:p>
        </w:tc>
      </w:tr>
    </w:tbl>
    <w:p w14:paraId="064B58A2" w14:textId="77777777" w:rsidR="00CB078B" w:rsidRDefault="00CB078B" w:rsidP="00CB078B">
      <w:pPr>
        <w:pStyle w:val="Heading2"/>
        <w:rPr>
          <w:rFonts w:cstheme="minorBidi"/>
        </w:rPr>
      </w:pPr>
      <w:r>
        <w:rPr>
          <w:rFonts w:cstheme="minorBidi"/>
        </w:rPr>
        <w:t>0.3 Workspace Onboarding as IGL Boundary Compilation</w:t>
      </w:r>
    </w:p>
    <w:p w14:paraId="1393FF71" w14:textId="77777777" w:rsidR="00CB078B" w:rsidRDefault="00CB078B" w:rsidP="00CB078B">
      <w:r>
        <w:t>The onboarding workflow is the customer-facing compiler for Identity Governed Logic. Each screen captures typed inputs that become numerical and semantic vectors for the workspace. Those vectors determine which agents may activate, what they may analyze, which regulatory references apply, how findings are weighted, what outputs are permitted, and when the runtime should allow, attenuate, halt, or seal a partial trace.</w:t>
      </w:r>
    </w:p>
    <w:p w14:paraId="2FBB5B8F" w14:textId="77777777" w:rsidR="00CB078B" w:rsidRDefault="00CB078B" w:rsidP="00CB078B">
      <w:r>
        <w:t>In practical terms, onboarding turns a customer’s profile, industry, use case, data sources, workspace type, jurisdiction, and role assignments into the initial Identity Graph boundary for the engagement. The workspace is not an empty chat surface. It is a governed execution environment where every agent inherits only the authority created by the customer-approved onboarding configuration.</w:t>
      </w:r>
    </w:p>
    <w:tbl>
      <w:tblPr>
        <w:tblStyle w:val="GridTable4-Accent1"/>
        <w:tblW w:w="5000" w:type="pct"/>
        <w:tblLook w:val="04A0" w:firstRow="1" w:lastRow="0" w:firstColumn="1" w:lastColumn="0" w:noHBand="0" w:noVBand="1"/>
      </w:tblPr>
      <w:tblGrid>
        <w:gridCol w:w="1685"/>
        <w:gridCol w:w="3692"/>
        <w:gridCol w:w="3973"/>
      </w:tblGrid>
      <w:tr w:rsidR="00CB078B" w14:paraId="2A48B966"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437B1" w14:textId="77777777" w:rsidR="00CB078B" w:rsidRDefault="00CB078B" w:rsidP="00445254">
            <w:pPr>
              <w:spacing w:after="160"/>
            </w:pPr>
            <w:r>
              <w:t>Onboarding Step</w:t>
            </w:r>
          </w:p>
        </w:tc>
        <w:tc>
          <w:tcPr>
            <w:tcW w:w="0" w:type="auto"/>
            <w:hideMark/>
          </w:tcPr>
          <w:p w14:paraId="39C96ABA"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Captured Vector</w:t>
            </w:r>
          </w:p>
        </w:tc>
        <w:tc>
          <w:tcPr>
            <w:tcW w:w="0" w:type="auto"/>
            <w:hideMark/>
          </w:tcPr>
          <w:p w14:paraId="7F102AD9"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How It Controls Agent Boundaries</w:t>
            </w:r>
          </w:p>
        </w:tc>
      </w:tr>
      <w:tr w:rsidR="00CB078B" w14:paraId="78669F1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D4D8E" w14:textId="77777777" w:rsidR="00CB078B" w:rsidRDefault="00CB078B" w:rsidP="00445254">
            <w:pPr>
              <w:spacing w:after="160"/>
            </w:pPr>
            <w:r>
              <w:lastRenderedPageBreak/>
              <w:t>Step 1: Tell us who you are</w:t>
            </w:r>
          </w:p>
        </w:tc>
        <w:tc>
          <w:tcPr>
            <w:tcW w:w="0" w:type="auto"/>
            <w:hideMark/>
          </w:tcPr>
          <w:p w14:paraId="0A950FB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Identity </w:t>
            </w:r>
            <w:proofErr w:type="gramStart"/>
            <w:r>
              <w:t>vector</w:t>
            </w:r>
            <w:proofErr w:type="gramEnd"/>
            <w:r>
              <w:t>: name, work email, company or firm, role, matter or engagement name.</w:t>
            </w:r>
          </w:p>
        </w:tc>
        <w:tc>
          <w:tcPr>
            <w:tcW w:w="0" w:type="auto"/>
            <w:hideMark/>
          </w:tcPr>
          <w:p w14:paraId="13888BC4"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Creates the attribution root for audit trails, receipts, executive reports, user permissions, role authority, and matter-scoped execution. Agents may attribute outputs only to the configured engagement and may not assume identity, role, or authority outside this profile.</w:t>
            </w:r>
          </w:p>
        </w:tc>
      </w:tr>
      <w:tr w:rsidR="00CB078B" w14:paraId="1E2B40B2"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13F21ABD" w14:textId="77777777" w:rsidR="00CB078B" w:rsidRDefault="00CB078B" w:rsidP="00445254">
            <w:pPr>
              <w:spacing w:after="160"/>
            </w:pPr>
            <w:r>
              <w:t>Step 2: Industry selection</w:t>
            </w:r>
          </w:p>
        </w:tc>
        <w:tc>
          <w:tcPr>
            <w:tcW w:w="0" w:type="auto"/>
            <w:hideMark/>
          </w:tcPr>
          <w:p w14:paraId="49F86EFF"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 xml:space="preserve">Industry taxonomy </w:t>
            </w:r>
            <w:proofErr w:type="gramStart"/>
            <w:r>
              <w:t>vector</w:t>
            </w:r>
            <w:proofErr w:type="gramEnd"/>
            <w:r>
              <w:t>: legal, M&amp;A, energy, financial services, healthcare, real estate, government, technology, or other configured industry pack.</w:t>
            </w:r>
          </w:p>
        </w:tc>
        <w:tc>
          <w:tcPr>
            <w:tcW w:w="0" w:type="auto"/>
            <w:hideMark/>
          </w:tcPr>
          <w:p w14:paraId="5AC6F82A"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Selects the category taxonomy, red-flag rules, regulatory references, diligence vocabulary, and reporting structure. Agents must operate inside the selected industry pack unless the workspace is explicitly expanded.</w:t>
            </w:r>
          </w:p>
        </w:tc>
      </w:tr>
      <w:tr w:rsidR="00CB078B" w14:paraId="6D0180B0"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DB38B" w14:textId="77777777" w:rsidR="00CB078B" w:rsidRDefault="00CB078B" w:rsidP="00445254">
            <w:pPr>
              <w:spacing w:after="160"/>
            </w:pPr>
            <w:r>
              <w:t>Step 3: Use cases and data sources</w:t>
            </w:r>
          </w:p>
        </w:tc>
        <w:tc>
          <w:tcPr>
            <w:tcW w:w="0" w:type="auto"/>
            <w:hideMark/>
          </w:tcPr>
          <w:p w14:paraId="31BDD541"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Demand and source-scope vectors: M&amp;A diligence, litigation, regulatory compliance, audit, capital raise, restructuring, contract review, investigation, active VDRs, local repositories, email archives, and cloud drives.</w:t>
            </w:r>
          </w:p>
        </w:tc>
        <w:tc>
          <w:tcPr>
            <w:tcW w:w="0" w:type="auto"/>
            <w:hideMark/>
          </w:tcPr>
          <w:p w14:paraId="5AAAFEE5"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Defines the task demand </w:t>
            </w:r>
            <w:proofErr w:type="spellStart"/>
            <w:r>
              <w:t>g_d</w:t>
            </w:r>
            <w:proofErr w:type="spellEnd"/>
            <w:r>
              <w:t xml:space="preserve"> and the permitted evidence universe. Agents may only review, classify, index, summarize, or report against selected use cases and selected source types. Unselected sources remain outside the execution boundary.</w:t>
            </w:r>
          </w:p>
        </w:tc>
      </w:tr>
      <w:tr w:rsidR="00CB078B" w14:paraId="6F94EC1C"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6DB2D68C" w14:textId="77777777" w:rsidR="00CB078B" w:rsidRDefault="00CB078B" w:rsidP="00445254">
            <w:pPr>
              <w:spacing w:after="160"/>
            </w:pPr>
            <w:r>
              <w:t>Step 4: Workspace choice</w:t>
            </w:r>
          </w:p>
        </w:tc>
        <w:tc>
          <w:tcPr>
            <w:tcW w:w="0" w:type="auto"/>
            <w:hideMark/>
          </w:tcPr>
          <w:p w14:paraId="00DDA762"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Execution-mode vector: VDR Auditor or VDR Vault.</w:t>
            </w:r>
          </w:p>
        </w:tc>
        <w:tc>
          <w:tcPr>
            <w:tcW w:w="0" w:type="auto"/>
            <w:hideMark/>
          </w:tcPr>
          <w:p w14:paraId="526B0B14"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 xml:space="preserve">Sets the operating mode. VDR Auditor activates autonomous diligence, cross-room analysis, findings, prioritization, and reports. VDR Vault activates secure repository, </w:t>
            </w:r>
            <w:proofErr w:type="spellStart"/>
            <w:r>
              <w:t>permissioning</w:t>
            </w:r>
            <w:proofErr w:type="spellEnd"/>
            <w:r>
              <w:t>, indexing, audit trail, chain-of-custody, and production-ready sharing. Agents must match their output to the chosen mode.</w:t>
            </w:r>
          </w:p>
        </w:tc>
      </w:tr>
      <w:tr w:rsidR="00CB078B" w14:paraId="7394FC10"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2DE6A" w14:textId="77777777" w:rsidR="00CB078B" w:rsidRDefault="00CB078B" w:rsidP="00445254">
            <w:pPr>
              <w:spacing w:after="160"/>
            </w:pPr>
            <w:r>
              <w:t>Step 5: Review and deploy</w:t>
            </w:r>
          </w:p>
        </w:tc>
        <w:tc>
          <w:tcPr>
            <w:tcW w:w="0" w:type="auto"/>
            <w:hideMark/>
          </w:tcPr>
          <w:p w14:paraId="1D8B663F"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Compiled workspace receipt: customer, company, role, matter, industry, use cases, data sources, workspace mode, and policy acknowledgement.</w:t>
            </w:r>
          </w:p>
        </w:tc>
        <w:tc>
          <w:tcPr>
            <w:tcW w:w="0" w:type="auto"/>
            <w:hideMark/>
          </w:tcPr>
          <w:p w14:paraId="07DE3B48"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Freezes the approved starting boundary. Agents inherit this receipt as the initial company boundary </w:t>
            </w:r>
            <w:proofErr w:type="spellStart"/>
            <w:r>
              <w:t>C_d</w:t>
            </w:r>
            <w:proofErr w:type="spellEnd"/>
            <w:r>
              <w:t>. If later actions exceed the deployed configuration, the runtime must request expansion, attenuate uncertainty, or halt depending on strictness.</w:t>
            </w:r>
          </w:p>
        </w:tc>
      </w:tr>
      <w:tr w:rsidR="00CB078B" w14:paraId="52CBFB1E"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3596F9E2" w14:textId="77777777" w:rsidR="00CB078B" w:rsidRDefault="00CB078B" w:rsidP="00445254">
            <w:pPr>
              <w:spacing w:after="160"/>
            </w:pPr>
            <w:r>
              <w:lastRenderedPageBreak/>
              <w:t>Workspace console</w:t>
            </w:r>
          </w:p>
        </w:tc>
        <w:tc>
          <w:tcPr>
            <w:tcW w:w="0" w:type="auto"/>
            <w:hideMark/>
          </w:tcPr>
          <w:p w14:paraId="7BFD278B"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Runtime activity vector: uploaded files, folders, ZIPs, findings, pages, hashes, search actions, and deep-scan settings.</w:t>
            </w:r>
          </w:p>
        </w:tc>
        <w:tc>
          <w:tcPr>
            <w:tcW w:w="0" w:type="auto"/>
            <w:hideMark/>
          </w:tcPr>
          <w:p w14:paraId="39E2F489"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Controls live execution. Agents may process only the files and folders brought into the workspace, cite findings to exact pages or hashes, and preserve traceability from intake to report.</w:t>
            </w:r>
          </w:p>
        </w:tc>
      </w:tr>
      <w:tr w:rsidR="00CB078B" w14:paraId="50B3BF45"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D9572" w14:textId="77777777" w:rsidR="00CB078B" w:rsidRDefault="00CB078B" w:rsidP="00445254">
            <w:pPr>
              <w:spacing w:after="160"/>
            </w:pPr>
            <w:r>
              <w:t>Workspace settings</w:t>
            </w:r>
          </w:p>
        </w:tc>
        <w:tc>
          <w:tcPr>
            <w:tcW w:w="0" w:type="auto"/>
            <w:hideMark/>
          </w:tcPr>
          <w:p w14:paraId="650B37AA"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Jurisdiction, regulatory framework, role-management, and rule-update vectors.</w:t>
            </w:r>
          </w:p>
        </w:tc>
        <w:tc>
          <w:tcPr>
            <w:tcW w:w="0" w:type="auto"/>
            <w:hideMark/>
          </w:tcPr>
          <w:p w14:paraId="7A635B55"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Updates the jurisdiction ceiling, applicable regulatory references, role credentials, and user authority. These settings alter the effective gate </w:t>
            </w:r>
            <w:proofErr w:type="spellStart"/>
            <w:r>
              <w:t>τ_d</w:t>
            </w:r>
            <w:proofErr w:type="spellEnd"/>
            <w:r>
              <w:t xml:space="preserve"> by changing the company boundary, individual footprint, or both.</w:t>
            </w:r>
          </w:p>
        </w:tc>
      </w:tr>
    </w:tbl>
    <w:p w14:paraId="1ABD896B" w14:textId="77777777" w:rsidR="00CB078B" w:rsidRDefault="00CB078B" w:rsidP="00CB078B"/>
    <w:p w14:paraId="744D8F0E" w14:textId="77777777" w:rsidR="00CB078B" w:rsidRDefault="00CB078B" w:rsidP="00CB078B">
      <w:pPr>
        <w:pStyle w:val="Heading3"/>
        <w:rPr>
          <w:rFonts w:cstheme="minorBidi"/>
        </w:rPr>
      </w:pPr>
      <w:r>
        <w:rPr>
          <w:rFonts w:cstheme="minorBidi"/>
        </w:rPr>
        <w:t>How Onboarding Vectors Control Agent Boundaries</w:t>
      </w:r>
    </w:p>
    <w:p w14:paraId="5E760D56" w14:textId="77777777" w:rsidR="00CB078B" w:rsidRDefault="00CB078B" w:rsidP="00CB078B">
      <w:pPr>
        <w:pStyle w:val="ListParagraph"/>
        <w:numPr>
          <w:ilvl w:val="0"/>
          <w:numId w:val="22"/>
        </w:numPr>
      </w:pPr>
      <w:r w:rsidRPr="00A5368A">
        <w:rPr>
          <w:b/>
          <w:bCs/>
        </w:rPr>
        <w:t>Identity vector controls attribution and role authority.</w:t>
      </w:r>
      <w:r>
        <w:t xml:space="preserve"> The person, firm, role, and matter name establish who the workspace is for, who receives audit attribution, and what role-based authority can be used. A partner, executive, auditor, reviewer, or outside advisor should not receive the same default authority unless the role vector grants it.</w:t>
      </w:r>
    </w:p>
    <w:p w14:paraId="71EA82D1" w14:textId="77777777" w:rsidR="00CB078B" w:rsidRDefault="00CB078B" w:rsidP="00CB078B">
      <w:pPr>
        <w:pStyle w:val="ListParagraph"/>
        <w:numPr>
          <w:ilvl w:val="0"/>
          <w:numId w:val="22"/>
        </w:numPr>
      </w:pPr>
      <w:r>
        <w:rPr>
          <w:b/>
          <w:bCs/>
        </w:rPr>
        <w:t>Industry vector controls taxonomy and rule packs.</w:t>
      </w:r>
      <w:r>
        <w:t xml:space="preserve"> The selected industry determines which document categories, regulatory references, red-flag patterns, and report sections are active. A healthcare workspace should not apply the same rules as a corporate M&amp;A workspace unless both are selected.</w:t>
      </w:r>
    </w:p>
    <w:p w14:paraId="4CA97F51" w14:textId="77777777" w:rsidR="00CB078B" w:rsidRDefault="00CB078B" w:rsidP="00CB078B">
      <w:pPr>
        <w:pStyle w:val="ListParagraph"/>
        <w:numPr>
          <w:ilvl w:val="0"/>
          <w:numId w:val="22"/>
        </w:numPr>
      </w:pPr>
      <w:r>
        <w:rPr>
          <w:b/>
          <w:bCs/>
        </w:rPr>
        <w:t>Use-case vector controls task demand.</w:t>
      </w:r>
      <w:r>
        <w:t xml:space="preserve"> Each selected use case adds a specific demand dimension, such as diligence, audit, compliance, capital raise, restructuring, contract review, or investigation. Agents may respond only within selected use-case demand.</w:t>
      </w:r>
    </w:p>
    <w:p w14:paraId="1D8615C7" w14:textId="77777777" w:rsidR="00CB078B" w:rsidRDefault="00CB078B" w:rsidP="00CB078B">
      <w:pPr>
        <w:pStyle w:val="ListParagraph"/>
        <w:numPr>
          <w:ilvl w:val="0"/>
          <w:numId w:val="22"/>
        </w:numPr>
      </w:pPr>
      <w:r>
        <w:rPr>
          <w:b/>
          <w:bCs/>
        </w:rPr>
        <w:t>Source-scope vector controls evidence access.</w:t>
      </w:r>
      <w:r>
        <w:t xml:space="preserve"> Selected source types define where evidence may come from. If local repositories are selected but email archives are not, agents may not infer email evidence. This prevents source drift and maintains defensible scope.</w:t>
      </w:r>
    </w:p>
    <w:p w14:paraId="3BFE347B" w14:textId="77777777" w:rsidR="00CB078B" w:rsidRDefault="00CB078B" w:rsidP="00CB078B">
      <w:pPr>
        <w:pStyle w:val="ListParagraph"/>
        <w:numPr>
          <w:ilvl w:val="0"/>
          <w:numId w:val="22"/>
        </w:numPr>
      </w:pPr>
      <w:r>
        <w:rPr>
          <w:b/>
          <w:bCs/>
        </w:rPr>
        <w:t>Workspace-mode vector controls agent activation.</w:t>
      </w:r>
      <w:r>
        <w:t xml:space="preserve"> VDR Auditor activates analysis, findings, prioritization, and reporting agents. VDR Vault activates repository, </w:t>
      </w:r>
      <w:proofErr w:type="spellStart"/>
      <w:r>
        <w:t>permissioning</w:t>
      </w:r>
      <w:proofErr w:type="spellEnd"/>
      <w:r>
        <w:t>, chain-of-custody, indexing, and production agents. The same file set can produce different outputs depending on the selected mode.</w:t>
      </w:r>
    </w:p>
    <w:p w14:paraId="22302D93" w14:textId="77777777" w:rsidR="00CB078B" w:rsidRDefault="00CB078B" w:rsidP="00CB078B">
      <w:pPr>
        <w:pStyle w:val="ListParagraph"/>
        <w:numPr>
          <w:ilvl w:val="0"/>
          <w:numId w:val="22"/>
        </w:numPr>
      </w:pPr>
      <w:r>
        <w:rPr>
          <w:b/>
          <w:bCs/>
        </w:rPr>
        <w:t>Jurisdiction vector controls legal and regulatory ceilings.</w:t>
      </w:r>
      <w:r>
        <w:t xml:space="preserve"> State, federal, county, municipal, and industry rules create the company boundary </w:t>
      </w:r>
      <w:proofErr w:type="spellStart"/>
      <w:r>
        <w:t>C_d</w:t>
      </w:r>
      <w:proofErr w:type="spellEnd"/>
      <w:r>
        <w:t xml:space="preserve">. Agents must treat </w:t>
      </w:r>
      <w:r>
        <w:lastRenderedPageBreak/>
        <w:t>legal, regulatory, security, and cryptographic claims as HARD boundaries unless citations and workspace settings support the claim.</w:t>
      </w:r>
    </w:p>
    <w:p w14:paraId="2D51208B" w14:textId="77777777" w:rsidR="00CB078B" w:rsidRDefault="00CB078B" w:rsidP="00CB078B">
      <w:pPr>
        <w:pStyle w:val="ListParagraph"/>
        <w:numPr>
          <w:ilvl w:val="0"/>
          <w:numId w:val="22"/>
        </w:numPr>
      </w:pPr>
      <w:r>
        <w:rPr>
          <w:b/>
          <w:bCs/>
        </w:rPr>
        <w:t xml:space="preserve">Role-management vector controls individual footprint </w:t>
      </w:r>
      <w:proofErr w:type="spellStart"/>
      <w:r>
        <w:rPr>
          <w:b/>
          <w:bCs/>
        </w:rPr>
        <w:t>P_d</w:t>
      </w:r>
      <w:proofErr w:type="spellEnd"/>
      <w:r>
        <w:rPr>
          <w:b/>
          <w:bCs/>
        </w:rPr>
        <w:t>.</w:t>
      </w:r>
      <w:r>
        <w:t xml:space="preserve"> User roles, credentials, and assignments define what each human or agent can read, act on, modify, export, or approve. Authority is intersected with the company boundary; it is not expanded by inheritance.</w:t>
      </w:r>
    </w:p>
    <w:p w14:paraId="1C5A3A8E" w14:textId="77777777" w:rsidR="00CB078B" w:rsidRDefault="00CB078B" w:rsidP="00CB078B">
      <w:pPr>
        <w:pStyle w:val="ListParagraph"/>
        <w:numPr>
          <w:ilvl w:val="0"/>
          <w:numId w:val="22"/>
        </w:numPr>
      </w:pPr>
      <w:r>
        <w:rPr>
          <w:b/>
          <w:bCs/>
        </w:rPr>
        <w:t>Runtime gate controls execution outcome.</w:t>
      </w:r>
      <w:r>
        <w:t xml:space="preserve"> The system computes the effective gate </w:t>
      </w:r>
      <w:proofErr w:type="spellStart"/>
      <w:r>
        <w:t>τ_d</w:t>
      </w:r>
      <w:proofErr w:type="spellEnd"/>
      <w:r>
        <w:t xml:space="preserve"> = </w:t>
      </w:r>
      <w:proofErr w:type="gramStart"/>
      <w:r>
        <w:t>MIN(</w:t>
      </w:r>
      <w:proofErr w:type="spellStart"/>
      <w:proofErr w:type="gramEnd"/>
      <w:r>
        <w:t>C_d</w:t>
      </w:r>
      <w:proofErr w:type="spellEnd"/>
      <w:r>
        <w:t xml:space="preserve">, </w:t>
      </w:r>
      <w:proofErr w:type="spellStart"/>
      <w:r>
        <w:t>P_d</w:t>
      </w:r>
      <w:proofErr w:type="spellEnd"/>
      <w:r>
        <w:t xml:space="preserve">). If the agent </w:t>
      </w:r>
      <w:proofErr w:type="gramStart"/>
      <w:r>
        <w:t>demand</w:t>
      </w:r>
      <w:proofErr w:type="gramEnd"/>
      <w:r>
        <w:t xml:space="preserve"> </w:t>
      </w:r>
      <w:proofErr w:type="spellStart"/>
      <w:r>
        <w:t>g_d</w:t>
      </w:r>
      <w:proofErr w:type="spellEnd"/>
      <w:r>
        <w:t xml:space="preserve"> is less than or equal to </w:t>
      </w:r>
      <w:proofErr w:type="spellStart"/>
      <w:r>
        <w:t>τ_d</w:t>
      </w:r>
      <w:proofErr w:type="spellEnd"/>
      <w:r>
        <w:t>, the agent may execute. If a HARD boundary is exceeded, the agent halts and seals the partial trace. If a SOFT boundary is exceeded, the agent continues only with logging, confidence attenuation, and review flags.</w:t>
      </w:r>
    </w:p>
    <w:p w14:paraId="4C852D0E" w14:textId="77777777" w:rsidR="00CB078B" w:rsidRDefault="00CB078B" w:rsidP="00CB078B"/>
    <w:p w14:paraId="2C1E5944" w14:textId="77777777" w:rsidR="00CB078B" w:rsidRDefault="00CB078B" w:rsidP="00CB078B">
      <w:pPr>
        <w:pStyle w:val="Heading2"/>
        <w:rPr>
          <w:rFonts w:asciiTheme="minorHAnsi" w:hAnsiTheme="minorHAnsi" w:cstheme="minorBidi"/>
        </w:rPr>
      </w:pPr>
      <w:r>
        <w:rPr>
          <w:rFonts w:asciiTheme="minorHAnsi" w:hAnsiTheme="minorHAnsi" w:cstheme="minorBidi"/>
        </w:rPr>
        <w:t>1. Strategic Goal</w:t>
      </w:r>
    </w:p>
    <w:p w14:paraId="23533DC0" w14:textId="77777777" w:rsidR="00CB078B" w:rsidRDefault="00CB078B" w:rsidP="00CB078B">
      <w:r>
        <w:t>Expand VDRPros.com beyond litigation and legal eDiscovery by positioning it as an AI-driven virtual data room for high-value business transactions where users need secure document exchange, local-browser processing, automated OCR, cryptographic seals, and AI-assisted due diligence.</w:t>
      </w:r>
    </w:p>
    <w:p w14:paraId="4B74C37E" w14:textId="77777777" w:rsidR="00CB078B" w:rsidRDefault="00CB078B" w:rsidP="00CB078B">
      <w:pPr>
        <w:pStyle w:val="Heading2"/>
        <w:rPr>
          <w:rFonts w:asciiTheme="minorHAnsi" w:hAnsiTheme="minorHAnsi" w:cstheme="minorBidi"/>
        </w:rPr>
      </w:pPr>
      <w:r>
        <w:rPr>
          <w:rFonts w:asciiTheme="minorHAnsi" w:hAnsiTheme="minorHAnsi" w:cstheme="minorBidi"/>
        </w:rPr>
        <w:t>2. Core Positioning Statement</w:t>
      </w:r>
    </w:p>
    <w:p w14:paraId="597CA352" w14:textId="77777777" w:rsidR="00CB078B" w:rsidRDefault="00CB078B" w:rsidP="00CB078B">
      <w:r>
        <w:rPr>
          <w:b/>
          <w:bCs/>
        </w:rPr>
        <w:t>Homepage positioning:</w:t>
      </w:r>
      <w:r>
        <w:t xml:space="preserve"> “The AI-driven virtual data room for secure corporate transactions, </w:t>
      </w:r>
      <w:r w:rsidRPr="00AB4CE7">
        <w:t>mergers, acquisitions, divestitures</w:t>
      </w:r>
      <w:r>
        <w:t>, fundraising, real estate diligence, board governance, and cryptographically sealed document collaboration.”</w:t>
      </w:r>
    </w:p>
    <w:p w14:paraId="1D9265DF" w14:textId="77777777" w:rsidR="00CB078B" w:rsidRDefault="00CB078B" w:rsidP="00CB078B">
      <w:pPr>
        <w:pStyle w:val="Heading2"/>
        <w:rPr>
          <w:rFonts w:cstheme="minorBidi"/>
        </w:rPr>
      </w:pPr>
      <w:r>
        <w:rPr>
          <w:rFonts w:cstheme="minorBidi"/>
        </w:rPr>
        <w:t>3. Competitive Pain Points to Exploit in Corporate Finance Positioning</w:t>
      </w:r>
    </w:p>
    <w:p w14:paraId="145AD0C4" w14:textId="77777777" w:rsidR="00CB078B" w:rsidRDefault="00CB078B" w:rsidP="00CB078B">
      <w:r>
        <w:t>To successfully position VDRPros.com for corporate finance, the messaging should directly address flaws reported by financial users of legacy virtual data rooms and modern document-tracking tools. The strongest opportunity is to show that VDRPros is built for predictable pricing, faster onboarding, reduced early cloud-ingestion risk, deeper diligence, and agentic document review.</w:t>
      </w:r>
    </w:p>
    <w:p w14:paraId="7B079DE1" w14:textId="77777777" w:rsidR="00CB078B" w:rsidRDefault="00CB078B" w:rsidP="00CB078B">
      <w:pPr>
        <w:pStyle w:val="Heading3"/>
        <w:rPr>
          <w:rFonts w:cstheme="minorBidi"/>
        </w:rPr>
      </w:pPr>
      <w:r>
        <w:rPr>
          <w:rFonts w:cstheme="minorBidi"/>
        </w:rPr>
        <w:t>Legacy Institutional VDR Pain Points: Intralinks &amp; Datasite</w:t>
      </w:r>
    </w:p>
    <w:p w14:paraId="6E40C728" w14:textId="77777777" w:rsidR="00CB078B" w:rsidRDefault="00CB078B" w:rsidP="00CB078B">
      <w:pPr>
        <w:pStyle w:val="ListParagraph"/>
        <w:numPr>
          <w:ilvl w:val="0"/>
          <w:numId w:val="16"/>
        </w:numPr>
      </w:pPr>
      <w:r w:rsidRPr="005D1E27">
        <w:rPr>
          <w:b/>
          <w:bCs/>
        </w:rPr>
        <w:t>The per-page and per-GB pricing trap:</w:t>
      </w:r>
      <w:r>
        <w:t xml:space="preserve"> Legacy rooms often rely on quote-based, page-based, storage-based, or overage-prone pricing models. Corporate finance users can face unpredictable costs when a buyer, seller, lender, or advisor drops a large file set into the room late in the process. </w:t>
      </w:r>
      <w:r w:rsidRPr="005D1E27">
        <w:rPr>
          <w:b/>
          <w:bCs/>
        </w:rPr>
        <w:t>VDRPros advantage:</w:t>
      </w:r>
      <w:r>
        <w:t xml:space="preserve"> Emphasize flat-</w:t>
      </w:r>
      <w:r>
        <w:lastRenderedPageBreak/>
        <w:t>rate or predictable pricing that removes billing shock and helps deal teams budget with confidence.</w:t>
      </w:r>
    </w:p>
    <w:p w14:paraId="462544A3" w14:textId="77777777" w:rsidR="00CB078B" w:rsidRDefault="00CB078B" w:rsidP="00CB078B">
      <w:pPr>
        <w:pStyle w:val="ListParagraph"/>
        <w:numPr>
          <w:ilvl w:val="0"/>
          <w:numId w:val="16"/>
        </w:numPr>
      </w:pPr>
      <w:r>
        <w:rPr>
          <w:b/>
          <w:bCs/>
        </w:rPr>
        <w:t>Click-heavy dinosaur UI and onboarding friction:</w:t>
      </w:r>
      <w:r>
        <w:t xml:space="preserve"> Legacy platforms are often viewed as dated, clunky, and training-intensive. Room setup, </w:t>
      </w:r>
      <w:proofErr w:type="spellStart"/>
      <w:r>
        <w:t>permissioning</w:t>
      </w:r>
      <w:proofErr w:type="spellEnd"/>
      <w:r>
        <w:t xml:space="preserve">, authentication, and folder navigation can slow down deal momentum when external buyers, auditors, tax teams, lenders, or counsel need access quickly. </w:t>
      </w:r>
      <w:r>
        <w:rPr>
          <w:b/>
          <w:bCs/>
        </w:rPr>
        <w:t>VDRPros advantage:</w:t>
      </w:r>
      <w:r>
        <w:t xml:space="preserve"> Position VDRPros as immediate, browser-native, and intuitive, with workflows designed for fast setup and low-friction external collaboration.</w:t>
      </w:r>
    </w:p>
    <w:p w14:paraId="1EC70BD7" w14:textId="77777777" w:rsidR="00CB078B" w:rsidRDefault="00CB078B" w:rsidP="00CB078B">
      <w:pPr>
        <w:pStyle w:val="ListParagraph"/>
        <w:numPr>
          <w:ilvl w:val="0"/>
          <w:numId w:val="16"/>
        </w:numPr>
      </w:pPr>
      <w:r>
        <w:rPr>
          <w:b/>
          <w:bCs/>
        </w:rPr>
        <w:t>Cloud-ingestion risk and supply-chain vulnerability:</w:t>
      </w:r>
      <w:r>
        <w:t xml:space="preserve"> Traditional workflows may require deal teams to bulk-upload thousands of raw, sensitive corporate files to a third-party cloud environment before those files have been audited, organized, OCR-processed, or risk-scored. </w:t>
      </w:r>
      <w:r>
        <w:rPr>
          <w:b/>
          <w:bCs/>
        </w:rPr>
        <w:t>VDRPros advantage:</w:t>
      </w:r>
      <w:r>
        <w:t xml:space="preserve"> Highlight local-browser processing, local text extraction, OCR, and pre-upload review to reduce unnecessary early cloud exposure and improve file hygiene before publication.</w:t>
      </w:r>
    </w:p>
    <w:p w14:paraId="551DFCCA" w14:textId="77777777" w:rsidR="00CB078B" w:rsidRDefault="00CB078B" w:rsidP="00CB078B">
      <w:pPr>
        <w:pStyle w:val="Heading3"/>
        <w:rPr>
          <w:rFonts w:cstheme="minorBidi"/>
        </w:rPr>
      </w:pPr>
      <w:r>
        <w:rPr>
          <w:rFonts w:cstheme="minorBidi"/>
        </w:rPr>
        <w:t>Modern Tracker Pain Points: DocSend-Style Lightweight Data Rooms</w:t>
      </w:r>
    </w:p>
    <w:p w14:paraId="7A77A85F" w14:textId="77777777" w:rsidR="00CB078B" w:rsidRDefault="00CB078B" w:rsidP="00CB078B">
      <w:pPr>
        <w:pStyle w:val="ListParagraph"/>
        <w:numPr>
          <w:ilvl w:val="0"/>
          <w:numId w:val="17"/>
        </w:numPr>
      </w:pPr>
      <w:r w:rsidRPr="005D1E27">
        <w:rPr>
          <w:b/>
          <w:bCs/>
        </w:rPr>
        <w:t>The data-room illusion:</w:t>
      </w:r>
      <w:r>
        <w:t xml:space="preserve"> Lightweight document trackers are useful for pitch decks and controlled document sharing, but they can fall short when a transaction moves into comprehensive M&amp;A, financing, divestiture, or regulatory due diligence. They may lack deep folder hierarchy, Q&amp;A workflows, compliance tooling, and massive-file-set governance. </w:t>
      </w:r>
      <w:r w:rsidRPr="005D1E27">
        <w:rPr>
          <w:b/>
          <w:bCs/>
        </w:rPr>
        <w:t>VDRPros advantage:</w:t>
      </w:r>
      <w:r>
        <w:t xml:space="preserve"> Position VDRPros as purpose-built for deep diligence, corporate audits, transaction evidence, and structured document rooms rather than basic deck tracking.</w:t>
      </w:r>
    </w:p>
    <w:p w14:paraId="5B83404B" w14:textId="77777777" w:rsidR="00CB078B" w:rsidRDefault="00CB078B" w:rsidP="00CB078B">
      <w:pPr>
        <w:pStyle w:val="ListParagraph"/>
        <w:numPr>
          <w:ilvl w:val="0"/>
          <w:numId w:val="17"/>
        </w:numPr>
      </w:pPr>
      <w:r>
        <w:rPr>
          <w:b/>
          <w:bCs/>
        </w:rPr>
        <w:t>Information dumping and poor context:</w:t>
      </w:r>
      <w:r>
        <w:t xml:space="preserve"> Standard repository links can overwhelm buyers and reviewers when hundreds or thousands of documents are shared without interpretation. Page-view analytics may show what someone looked at but not why they stopped, what issue they found, or whether a structural, financial, legal, or compliance defect exists. </w:t>
      </w:r>
      <w:r>
        <w:rPr>
          <w:b/>
          <w:bCs/>
        </w:rPr>
        <w:t>VDRPros advantage:</w:t>
      </w:r>
      <w:r>
        <w:t xml:space="preserve"> Emphasize agentic review that creates an evidentiary index, flags exact passages, and drafts diligence reports that explain risks in context.</w:t>
      </w:r>
    </w:p>
    <w:p w14:paraId="554659C8" w14:textId="77777777" w:rsidR="00CB078B" w:rsidRDefault="00CB078B" w:rsidP="00CB078B">
      <w:pPr>
        <w:pStyle w:val="ListParagraph"/>
        <w:numPr>
          <w:ilvl w:val="0"/>
          <w:numId w:val="17"/>
        </w:numPr>
      </w:pPr>
      <w:r>
        <w:rPr>
          <w:b/>
          <w:bCs/>
        </w:rPr>
        <w:t>Subscription seat-expansion penalties:</w:t>
      </w:r>
      <w:r>
        <w:t xml:space="preserve"> Per-seat tracker pricing can look inexpensive at first but become costly when a transaction suddenly requires cross-department executives, outside counsel, tax professionals, auditors, lenders, consultants, and multiple buyer groups. </w:t>
      </w:r>
      <w:r>
        <w:rPr>
          <w:b/>
          <w:bCs/>
        </w:rPr>
        <w:t>VDRPros advantage:</w:t>
      </w:r>
      <w:r>
        <w:t xml:space="preserve"> Promote pricing and access models that scale with deal complexity without penalizing legitimate transaction participation.</w:t>
      </w:r>
    </w:p>
    <w:p w14:paraId="06EF3403" w14:textId="77777777" w:rsidR="00CB078B" w:rsidRDefault="00CB078B" w:rsidP="00CB078B">
      <w:pPr>
        <w:pStyle w:val="Heading3"/>
        <w:rPr>
          <w:rFonts w:cstheme="minorBidi"/>
        </w:rPr>
      </w:pPr>
      <w:r>
        <w:rPr>
          <w:rFonts w:cstheme="minorBidi"/>
        </w:rPr>
        <w:lastRenderedPageBreak/>
        <w:t>Messaging Angles for VDRPros.com</w:t>
      </w:r>
    </w:p>
    <w:p w14:paraId="21AB0F37" w14:textId="77777777" w:rsidR="00CB078B" w:rsidRDefault="00CB078B" w:rsidP="00CB078B">
      <w:pPr>
        <w:pStyle w:val="ListParagraph"/>
        <w:numPr>
          <w:ilvl w:val="0"/>
          <w:numId w:val="18"/>
        </w:numPr>
      </w:pPr>
      <w:r w:rsidRPr="005D1E27">
        <w:rPr>
          <w:b/>
          <w:bCs/>
        </w:rPr>
        <w:t>Predictable corporate finance data rooms:</w:t>
      </w:r>
      <w:r>
        <w:t xml:space="preserve"> No pricing traps when </w:t>
      </w:r>
      <w:proofErr w:type="gramStart"/>
      <w:r>
        <w:t>deal</w:t>
      </w:r>
      <w:proofErr w:type="gramEnd"/>
      <w:r>
        <w:t xml:space="preserve"> documents, users, or reviewer groups expand.</w:t>
      </w:r>
    </w:p>
    <w:p w14:paraId="3A736655" w14:textId="77777777" w:rsidR="00CB078B" w:rsidRDefault="00CB078B" w:rsidP="00CB078B">
      <w:pPr>
        <w:pStyle w:val="ListParagraph"/>
        <w:numPr>
          <w:ilvl w:val="0"/>
          <w:numId w:val="18"/>
        </w:numPr>
      </w:pPr>
      <w:r>
        <w:rPr>
          <w:b/>
          <w:bCs/>
        </w:rPr>
        <w:t>Fast diligence without legacy friction:</w:t>
      </w:r>
      <w:r>
        <w:t xml:space="preserve"> Browser-native setup and intuitive access for buyers, sellers, bankers, auditors, lenders, and counsel.</w:t>
      </w:r>
    </w:p>
    <w:p w14:paraId="78298AF1" w14:textId="77777777" w:rsidR="00CB078B" w:rsidRDefault="00CB078B" w:rsidP="00CB078B">
      <w:pPr>
        <w:pStyle w:val="ListParagraph"/>
        <w:numPr>
          <w:ilvl w:val="0"/>
          <w:numId w:val="18"/>
        </w:numPr>
      </w:pPr>
      <w:r>
        <w:rPr>
          <w:b/>
          <w:bCs/>
        </w:rPr>
        <w:t>Pre-upload intelligence:</w:t>
      </w:r>
      <w:r>
        <w:t xml:space="preserve"> Local OCR, local text extraction, and document review before sensitive files are pushed into a third-party cloud room.</w:t>
      </w:r>
    </w:p>
    <w:p w14:paraId="6CC42500" w14:textId="77777777" w:rsidR="00CB078B" w:rsidRDefault="00CB078B" w:rsidP="00CB078B">
      <w:pPr>
        <w:pStyle w:val="ListParagraph"/>
        <w:numPr>
          <w:ilvl w:val="0"/>
          <w:numId w:val="18"/>
        </w:numPr>
      </w:pPr>
      <w:r>
        <w:rPr>
          <w:b/>
          <w:bCs/>
        </w:rPr>
        <w:t>Deep diligence, not shallow tracking:</w:t>
      </w:r>
      <w:r>
        <w:t xml:space="preserve"> AI-assisted review, red-flag detection, evidentiary indexing, and explainable reports for complex transactions.</w:t>
      </w:r>
    </w:p>
    <w:p w14:paraId="3BCC6F1B" w14:textId="77777777" w:rsidR="00CB078B" w:rsidRDefault="00CB078B" w:rsidP="00CB078B">
      <w:pPr>
        <w:pStyle w:val="ListParagraph"/>
        <w:numPr>
          <w:ilvl w:val="0"/>
          <w:numId w:val="18"/>
        </w:numPr>
      </w:pPr>
      <w:r>
        <w:rPr>
          <w:b/>
          <w:bCs/>
        </w:rPr>
        <w:t>Built for real deals:</w:t>
      </w:r>
      <w:r>
        <w:t xml:space="preserve"> Support acquisitions, divestitures, mergers, carve-outs, spin-offs, restructurings, fundraising, real estate transactions, and corporate governance workflows across industries.</w:t>
      </w:r>
    </w:p>
    <w:p w14:paraId="2CCF2D43" w14:textId="77777777" w:rsidR="00CB078B" w:rsidRDefault="00CB078B" w:rsidP="00CB078B">
      <w:pPr>
        <w:pStyle w:val="Heading2"/>
        <w:rPr>
          <w:rFonts w:cstheme="minorBidi"/>
        </w:rPr>
      </w:pPr>
      <w:r>
        <w:rPr>
          <w:rFonts w:cstheme="minorBidi"/>
        </w:rPr>
        <w:t>4. Competitive Landing Page Blueprint: The Modern Corporate Transaction VDR</w:t>
      </w:r>
    </w:p>
    <w:p w14:paraId="23081DA3" w14:textId="77777777" w:rsidR="00CB078B" w:rsidRDefault="00CB078B" w:rsidP="00CB078B">
      <w:pPr>
        <w:pStyle w:val="Heading3"/>
        <w:rPr>
          <w:rFonts w:cstheme="minorBidi"/>
        </w:rPr>
      </w:pPr>
      <w:r>
        <w:rPr>
          <w:rFonts w:cstheme="minorBidi"/>
        </w:rPr>
        <w:t>Candidate Page Titles</w:t>
      </w:r>
    </w:p>
    <w:p w14:paraId="0965B5D5" w14:textId="77777777" w:rsidR="00CB078B" w:rsidRDefault="00CB078B" w:rsidP="00CB078B">
      <w:pPr>
        <w:pStyle w:val="ListParagraph"/>
        <w:numPr>
          <w:ilvl w:val="0"/>
          <w:numId w:val="19"/>
        </w:numPr>
      </w:pPr>
      <w:r>
        <w:t>VDRPros vs. Legacy VDRs: Stop Paying Per Page</w:t>
      </w:r>
    </w:p>
    <w:p w14:paraId="1DFD6806" w14:textId="77777777" w:rsidR="00CB078B" w:rsidRDefault="00CB078B" w:rsidP="00CB078B">
      <w:pPr>
        <w:pStyle w:val="ListParagraph"/>
        <w:numPr>
          <w:ilvl w:val="0"/>
          <w:numId w:val="19"/>
        </w:numPr>
      </w:pPr>
      <w:r>
        <w:t>The Modern Corporate Transaction VDR for M&amp;A, Divestitures, and Fundraising</w:t>
      </w:r>
    </w:p>
    <w:p w14:paraId="1D8C7823" w14:textId="77777777" w:rsidR="00CB078B" w:rsidRDefault="00CB078B" w:rsidP="00CB078B">
      <w:pPr>
        <w:pStyle w:val="ListParagraph"/>
        <w:numPr>
          <w:ilvl w:val="0"/>
          <w:numId w:val="19"/>
        </w:numPr>
      </w:pPr>
      <w:r>
        <w:t>Why Deal Teams Move from Legacy VDRs and Lightweight Trackers to VDRPros</w:t>
      </w:r>
    </w:p>
    <w:p w14:paraId="30E994E8" w14:textId="77777777" w:rsidR="00CB078B" w:rsidRDefault="00CB078B" w:rsidP="00CB078B">
      <w:pPr>
        <w:pStyle w:val="ListParagraph"/>
        <w:numPr>
          <w:ilvl w:val="0"/>
          <w:numId w:val="19"/>
        </w:numPr>
      </w:pPr>
      <w:r>
        <w:t>Why Founders Move from DocSend-Style Tracking to VDRPros for Real Due Diligence</w:t>
      </w:r>
    </w:p>
    <w:p w14:paraId="0C0258FC" w14:textId="77777777" w:rsidR="00CB078B" w:rsidRDefault="00CB078B" w:rsidP="00CB078B">
      <w:pPr>
        <w:pStyle w:val="Heading3"/>
        <w:rPr>
          <w:rFonts w:cstheme="minorBidi"/>
        </w:rPr>
      </w:pPr>
      <w:r>
        <w:rPr>
          <w:rFonts w:cstheme="minorBidi"/>
        </w:rPr>
        <w:t>1. Above-the-Fold Hero Section</w:t>
      </w:r>
    </w:p>
    <w:p w14:paraId="511C60B6" w14:textId="77777777" w:rsidR="00CB078B" w:rsidRDefault="00CB078B" w:rsidP="00CB078B">
      <w:r>
        <w:rPr>
          <w:b/>
          <w:bCs/>
        </w:rPr>
        <w:t>Main headline:</w:t>
      </w:r>
      <w:r>
        <w:t xml:space="preserve"> Stop Paying Per Page. Start Auditing Per Second.</w:t>
      </w:r>
    </w:p>
    <w:p w14:paraId="48B7038D" w14:textId="77777777" w:rsidR="00CB078B" w:rsidRDefault="00CB078B" w:rsidP="00CB078B">
      <w:r>
        <w:rPr>
          <w:b/>
          <w:bCs/>
        </w:rPr>
        <w:t>Sub-headline:</w:t>
      </w:r>
      <w:r>
        <w:t xml:space="preserve"> The automated virtual data room built for M&amp;A, </w:t>
      </w:r>
      <w:proofErr w:type="gramStart"/>
      <w:r>
        <w:t>divestitures</w:t>
      </w:r>
      <w:proofErr w:type="gramEnd"/>
      <w:r>
        <w:t>, fundraising, and corporate transactions. Securely process, index, and audit deal files locally in the browser before publishing sensitive materials to the cloud.</w:t>
      </w:r>
    </w:p>
    <w:p w14:paraId="30102578" w14:textId="77777777" w:rsidR="00CB078B" w:rsidRDefault="00CB078B" w:rsidP="00CB078B">
      <w:r>
        <w:rPr>
          <w:b/>
          <w:bCs/>
        </w:rPr>
        <w:t>Visual anchor:</w:t>
      </w:r>
      <w:r>
        <w:t xml:space="preserve"> Split-screen dashboard mockup. Left side: a clunky legacy folder interface showing “Storage Limit Reached.” Right side: the VDRPros interface showing a structured diligence report, document index, red-flag summary, and lock label reading “Local Browser Processing.”</w:t>
      </w:r>
    </w:p>
    <w:p w14:paraId="767A3FFC" w14:textId="77777777" w:rsidR="00CB078B" w:rsidRDefault="00CB078B" w:rsidP="00CB078B">
      <w:r>
        <w:rPr>
          <w:b/>
          <w:bCs/>
        </w:rPr>
        <w:t>Primary CTA:</w:t>
      </w:r>
      <w:r>
        <w:t xml:space="preserve"> Start Your 14-Day Free Trial. </w:t>
      </w:r>
      <w:r>
        <w:rPr>
          <w:b/>
          <w:bCs/>
        </w:rPr>
        <w:t>Secondary CTA:</w:t>
      </w:r>
      <w:r>
        <w:t xml:space="preserve"> Book a Corporate Demo.</w:t>
      </w:r>
    </w:p>
    <w:p w14:paraId="4AF5AD1E" w14:textId="77777777" w:rsidR="00CB078B" w:rsidRDefault="00CB078B" w:rsidP="00CB078B">
      <w:pPr>
        <w:pStyle w:val="Heading3"/>
        <w:rPr>
          <w:rFonts w:cstheme="minorBidi"/>
        </w:rPr>
      </w:pPr>
      <w:r>
        <w:rPr>
          <w:rFonts w:cstheme="minorBidi"/>
        </w:rPr>
        <w:t>2. Urgent Call-Out: Why Traditional VDRs Are Broken</w:t>
      </w:r>
    </w:p>
    <w:p w14:paraId="4DFF3A6E" w14:textId="77777777" w:rsidR="00CB078B" w:rsidRDefault="00CB078B" w:rsidP="00CB078B">
      <w:r>
        <w:rPr>
          <w:b/>
          <w:bCs/>
        </w:rPr>
        <w:t>Section title:</w:t>
      </w:r>
      <w:r>
        <w:t xml:space="preserve"> The Hidden Costs of Legacy Transactions</w:t>
      </w:r>
    </w:p>
    <w:tbl>
      <w:tblPr>
        <w:tblStyle w:val="GridTable4-Accent1"/>
        <w:tblW w:w="5000" w:type="pct"/>
        <w:tblLook w:val="04A0" w:firstRow="1" w:lastRow="0" w:firstColumn="1" w:lastColumn="0" w:noHBand="0" w:noVBand="1"/>
      </w:tblPr>
      <w:tblGrid>
        <w:gridCol w:w="1625"/>
        <w:gridCol w:w="4445"/>
        <w:gridCol w:w="3280"/>
      </w:tblGrid>
      <w:tr w:rsidR="00CB078B" w14:paraId="49B08BCD"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16254" w14:textId="77777777" w:rsidR="00CB078B" w:rsidRDefault="00CB078B" w:rsidP="00445254">
            <w:pPr>
              <w:spacing w:after="160"/>
            </w:pPr>
            <w:r>
              <w:lastRenderedPageBreak/>
              <w:t>Problem</w:t>
            </w:r>
          </w:p>
        </w:tc>
        <w:tc>
          <w:tcPr>
            <w:tcW w:w="0" w:type="auto"/>
            <w:hideMark/>
          </w:tcPr>
          <w:p w14:paraId="3FD61E96"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What Buyers Feel</w:t>
            </w:r>
          </w:p>
        </w:tc>
        <w:tc>
          <w:tcPr>
            <w:tcW w:w="0" w:type="auto"/>
            <w:hideMark/>
          </w:tcPr>
          <w:p w14:paraId="146033D1"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VDRPros Counter-Message</w:t>
            </w:r>
          </w:p>
        </w:tc>
      </w:tr>
      <w:tr w:rsidR="00CB078B" w14:paraId="054DA4D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1E21" w14:textId="77777777" w:rsidR="00CB078B" w:rsidRDefault="00CB078B" w:rsidP="00445254">
            <w:pPr>
              <w:spacing w:after="160"/>
            </w:pPr>
            <w:r>
              <w:t>The pricing trap</w:t>
            </w:r>
          </w:p>
        </w:tc>
        <w:tc>
          <w:tcPr>
            <w:tcW w:w="0" w:type="auto"/>
            <w:hideMark/>
          </w:tcPr>
          <w:p w14:paraId="5AC0859E"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Legacy VDRs can rely on opaque quote-based, per-page, storage-based, or overage-prone pricing, making final invoices hard to predict when deal files expand.</w:t>
            </w:r>
          </w:p>
        </w:tc>
        <w:tc>
          <w:tcPr>
            <w:tcW w:w="0" w:type="auto"/>
            <w:hideMark/>
          </w:tcPr>
          <w:p w14:paraId="26D2EFFE"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Predictable pricing </w:t>
            </w:r>
            <w:proofErr w:type="gramStart"/>
            <w:r>
              <w:t>built</w:t>
            </w:r>
            <w:proofErr w:type="gramEnd"/>
            <w:r>
              <w:t xml:space="preserve"> for transaction growth, not billing surprises.</w:t>
            </w:r>
          </w:p>
        </w:tc>
      </w:tr>
      <w:tr w:rsidR="00CB078B" w14:paraId="4271CAD2"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0EB97D1D" w14:textId="77777777" w:rsidR="00CB078B" w:rsidRDefault="00CB078B" w:rsidP="00445254">
            <w:pPr>
              <w:spacing w:after="160"/>
            </w:pPr>
            <w:r>
              <w:t>The cloud exposure problem</w:t>
            </w:r>
          </w:p>
        </w:tc>
        <w:tc>
          <w:tcPr>
            <w:tcW w:w="0" w:type="auto"/>
            <w:hideMark/>
          </w:tcPr>
          <w:p w14:paraId="7D016D11"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Deal teams often must upload raw, unreviewed corporate files before meaningfully indexing, auditing, or organizing them.</w:t>
            </w:r>
          </w:p>
        </w:tc>
        <w:tc>
          <w:tcPr>
            <w:tcW w:w="0" w:type="auto"/>
            <w:hideMark/>
          </w:tcPr>
          <w:p w14:paraId="3AC21379"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Process, OCR, de-duplicate, and review locally in the browser before publication.</w:t>
            </w:r>
          </w:p>
        </w:tc>
      </w:tr>
      <w:tr w:rsidR="00CB078B" w14:paraId="4801552A"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EA72B" w14:textId="77777777" w:rsidR="00CB078B" w:rsidRDefault="00CB078B" w:rsidP="00445254">
            <w:pPr>
              <w:spacing w:after="160"/>
            </w:pPr>
            <w:r>
              <w:t>The analytics mirage</w:t>
            </w:r>
          </w:p>
        </w:tc>
        <w:tc>
          <w:tcPr>
            <w:tcW w:w="0" w:type="auto"/>
            <w:hideMark/>
          </w:tcPr>
          <w:p w14:paraId="6FDFDE08"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Lightweight trackers show who viewed a page, but not whether a document is complete, consistent, risky, or </w:t>
            </w:r>
            <w:proofErr w:type="gramStart"/>
            <w:r>
              <w:t>diligence-ready</w:t>
            </w:r>
            <w:proofErr w:type="gramEnd"/>
            <w:r>
              <w:t>.</w:t>
            </w:r>
          </w:p>
        </w:tc>
        <w:tc>
          <w:tcPr>
            <w:tcW w:w="0" w:type="auto"/>
            <w:hideMark/>
          </w:tcPr>
          <w:p w14:paraId="7A55C8B2"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Automation creates context: evidentiary indexing, flags, summaries, and report-ready diligence outputs.</w:t>
            </w:r>
          </w:p>
        </w:tc>
      </w:tr>
    </w:tbl>
    <w:p w14:paraId="762D19E0" w14:textId="77777777" w:rsidR="00CB078B" w:rsidRDefault="00CB078B" w:rsidP="00CB078B"/>
    <w:p w14:paraId="3B469C9D" w14:textId="77777777" w:rsidR="00CB078B" w:rsidRDefault="00CB078B" w:rsidP="00CB078B">
      <w:pPr>
        <w:pStyle w:val="Heading3"/>
        <w:rPr>
          <w:rFonts w:cstheme="minorBidi"/>
        </w:rPr>
      </w:pPr>
      <w:r>
        <w:rPr>
          <w:rFonts w:cstheme="minorBidi"/>
        </w:rPr>
        <w:t>3. The Pivot: How VDRPros Rewrites the Rules</w:t>
      </w:r>
    </w:p>
    <w:p w14:paraId="1EF2FECA" w14:textId="77777777" w:rsidR="00CB078B" w:rsidRDefault="00CB078B" w:rsidP="00CB078B">
      <w:r>
        <w:rPr>
          <w:b/>
          <w:bCs/>
        </w:rPr>
        <w:t>Section title:</w:t>
      </w:r>
      <w:r>
        <w:t xml:space="preserve"> Built Different. Built Secure. Built for Velocity.</w:t>
      </w:r>
    </w:p>
    <w:p w14:paraId="6B25575C" w14:textId="77777777" w:rsidR="00CB078B" w:rsidRDefault="00CB078B" w:rsidP="00CB078B">
      <w:pPr>
        <w:pStyle w:val="ListParagraph"/>
        <w:numPr>
          <w:ilvl w:val="0"/>
          <w:numId w:val="20"/>
        </w:numPr>
      </w:pPr>
      <w:r w:rsidRPr="00D9568B">
        <w:rPr>
          <w:b/>
          <w:bCs/>
        </w:rPr>
        <w:t>Local-browser ingestion:</w:t>
      </w:r>
      <w:r>
        <w:t xml:space="preserve"> Run OCR, de-duplicate files, and extract text in the browser during the initial pass so deal teams can classify and inspect files before sharing them externally.</w:t>
      </w:r>
    </w:p>
    <w:p w14:paraId="1295454F" w14:textId="77777777" w:rsidR="00CB078B" w:rsidRDefault="00CB078B" w:rsidP="00CB078B">
      <w:pPr>
        <w:pStyle w:val="ListParagraph"/>
        <w:numPr>
          <w:ilvl w:val="0"/>
          <w:numId w:val="20"/>
        </w:numPr>
      </w:pPr>
      <w:r>
        <w:rPr>
          <w:b/>
          <w:bCs/>
        </w:rPr>
        <w:t>Due diligence automation:</w:t>
      </w:r>
      <w:r>
        <w:t xml:space="preserve"> Reduce manual folder work by generating an evidentiary index, identifying review flags, and producing structured corporate health summaries.</w:t>
      </w:r>
    </w:p>
    <w:p w14:paraId="039095EF" w14:textId="77777777" w:rsidR="00CB078B" w:rsidRDefault="00CB078B" w:rsidP="00CB078B">
      <w:pPr>
        <w:pStyle w:val="ListParagraph"/>
        <w:numPr>
          <w:ilvl w:val="0"/>
          <w:numId w:val="20"/>
        </w:numPr>
      </w:pPr>
      <w:r>
        <w:rPr>
          <w:b/>
          <w:bCs/>
        </w:rPr>
        <w:t>Cryptographic proof:</w:t>
      </w:r>
      <w:r>
        <w:t xml:space="preserve"> Apply SHA-256 hashing and timestamp seals to support document integrity, auditability, and chain-of-custody narratives.</w:t>
      </w:r>
    </w:p>
    <w:p w14:paraId="5CD4A812" w14:textId="77777777" w:rsidR="00CB078B" w:rsidRDefault="00CB078B" w:rsidP="00CB078B">
      <w:pPr>
        <w:pStyle w:val="Heading3"/>
        <w:rPr>
          <w:rFonts w:cstheme="minorBidi"/>
        </w:rPr>
      </w:pPr>
      <w:r>
        <w:rPr>
          <w:rFonts w:cstheme="minorBidi"/>
        </w:rPr>
        <w:t>4. Head-to-Head Comparison Matrix</w:t>
      </w:r>
    </w:p>
    <w:tbl>
      <w:tblPr>
        <w:tblStyle w:val="GridTable4-Accent1"/>
        <w:tblW w:w="5000" w:type="pct"/>
        <w:tblLook w:val="04A0" w:firstRow="1" w:lastRow="0" w:firstColumn="1" w:lastColumn="0" w:noHBand="0" w:noVBand="1"/>
      </w:tblPr>
      <w:tblGrid>
        <w:gridCol w:w="1652"/>
        <w:gridCol w:w="2503"/>
        <w:gridCol w:w="2765"/>
        <w:gridCol w:w="2430"/>
      </w:tblGrid>
      <w:tr w:rsidR="00CB078B" w14:paraId="55BE14B3"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0A7DC" w14:textId="77777777" w:rsidR="00CB078B" w:rsidRDefault="00CB078B" w:rsidP="00445254">
            <w:pPr>
              <w:spacing w:after="160"/>
            </w:pPr>
            <w:r>
              <w:t>Feature / Capability</w:t>
            </w:r>
          </w:p>
        </w:tc>
        <w:tc>
          <w:tcPr>
            <w:tcW w:w="0" w:type="auto"/>
            <w:hideMark/>
          </w:tcPr>
          <w:p w14:paraId="7C747D48"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VDRPros.com</w:t>
            </w:r>
          </w:p>
        </w:tc>
        <w:tc>
          <w:tcPr>
            <w:tcW w:w="0" w:type="auto"/>
            <w:hideMark/>
          </w:tcPr>
          <w:p w14:paraId="1BF7359C"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Legacy VDRs</w:t>
            </w:r>
          </w:p>
        </w:tc>
        <w:tc>
          <w:tcPr>
            <w:tcW w:w="0" w:type="auto"/>
            <w:hideMark/>
          </w:tcPr>
          <w:p w14:paraId="75D05E49"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Lightweight Trackers</w:t>
            </w:r>
          </w:p>
        </w:tc>
      </w:tr>
      <w:tr w:rsidR="00CB078B" w14:paraId="7B8B7F73"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CEC5E" w14:textId="77777777" w:rsidR="00CB078B" w:rsidRDefault="00CB078B" w:rsidP="00445254">
            <w:pPr>
              <w:spacing w:after="160"/>
            </w:pPr>
            <w:r>
              <w:t>Pricing model</w:t>
            </w:r>
          </w:p>
        </w:tc>
        <w:tc>
          <w:tcPr>
            <w:tcW w:w="0" w:type="auto"/>
            <w:hideMark/>
          </w:tcPr>
          <w:p w14:paraId="6E74CE14"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Predictable flat-rate or transparent deal-based model</w:t>
            </w:r>
          </w:p>
        </w:tc>
        <w:tc>
          <w:tcPr>
            <w:tcW w:w="0" w:type="auto"/>
            <w:hideMark/>
          </w:tcPr>
          <w:p w14:paraId="1212BFE4"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Often custom </w:t>
            </w:r>
            <w:proofErr w:type="gramStart"/>
            <w:r>
              <w:t>quote</w:t>
            </w:r>
            <w:proofErr w:type="gramEnd"/>
            <w:r>
              <w:t>, storage-based, page-based, or overage-prone</w:t>
            </w:r>
          </w:p>
        </w:tc>
        <w:tc>
          <w:tcPr>
            <w:tcW w:w="0" w:type="auto"/>
            <w:hideMark/>
          </w:tcPr>
          <w:p w14:paraId="74585395"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Often per-user or plan-based expansion costs</w:t>
            </w:r>
          </w:p>
        </w:tc>
      </w:tr>
      <w:tr w:rsidR="00CB078B" w14:paraId="335BED91"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31A55697" w14:textId="77777777" w:rsidR="00CB078B" w:rsidRDefault="00CB078B" w:rsidP="00445254">
            <w:pPr>
              <w:spacing w:after="160"/>
            </w:pPr>
            <w:r>
              <w:t>Ingestion security</w:t>
            </w:r>
          </w:p>
        </w:tc>
        <w:tc>
          <w:tcPr>
            <w:tcW w:w="0" w:type="auto"/>
            <w:hideMark/>
          </w:tcPr>
          <w:p w14:paraId="2EF7A36B"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Local browser processing during initial organization and review</w:t>
            </w:r>
          </w:p>
        </w:tc>
        <w:tc>
          <w:tcPr>
            <w:tcW w:w="0" w:type="auto"/>
            <w:hideMark/>
          </w:tcPr>
          <w:p w14:paraId="6D44FB10"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Typically cloud-first upload and processing</w:t>
            </w:r>
          </w:p>
        </w:tc>
        <w:tc>
          <w:tcPr>
            <w:tcW w:w="0" w:type="auto"/>
            <w:hideMark/>
          </w:tcPr>
          <w:p w14:paraId="0A6081B0"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Typically cloud-first upload and sharing</w:t>
            </w:r>
          </w:p>
        </w:tc>
      </w:tr>
      <w:tr w:rsidR="00CB078B" w14:paraId="00E570B2"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5A918" w14:textId="77777777" w:rsidR="00CB078B" w:rsidRDefault="00CB078B" w:rsidP="00445254">
            <w:pPr>
              <w:spacing w:after="160"/>
            </w:pPr>
            <w:r>
              <w:lastRenderedPageBreak/>
              <w:t>Document integrity</w:t>
            </w:r>
          </w:p>
        </w:tc>
        <w:tc>
          <w:tcPr>
            <w:tcW w:w="0" w:type="auto"/>
            <w:hideMark/>
          </w:tcPr>
          <w:p w14:paraId="1C24DA42"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SHA-256 hashing and timestamp seals</w:t>
            </w:r>
          </w:p>
        </w:tc>
        <w:tc>
          <w:tcPr>
            <w:tcW w:w="0" w:type="auto"/>
            <w:hideMark/>
          </w:tcPr>
          <w:p w14:paraId="4CD5D5F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Security controls and audit logs vary by vendor and tier</w:t>
            </w:r>
          </w:p>
        </w:tc>
        <w:tc>
          <w:tcPr>
            <w:tcW w:w="0" w:type="auto"/>
            <w:hideMark/>
          </w:tcPr>
          <w:p w14:paraId="427E433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Link controls, expirations, and analytics vary by plan</w:t>
            </w:r>
          </w:p>
        </w:tc>
      </w:tr>
      <w:tr w:rsidR="00CB078B" w14:paraId="3C3CE11D"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7D211CB9" w14:textId="77777777" w:rsidR="00CB078B" w:rsidRDefault="00CB078B" w:rsidP="00445254">
            <w:pPr>
              <w:spacing w:after="160"/>
            </w:pPr>
            <w:r>
              <w:t>Diligence automation</w:t>
            </w:r>
          </w:p>
        </w:tc>
        <w:tc>
          <w:tcPr>
            <w:tcW w:w="0" w:type="auto"/>
            <w:hideMark/>
          </w:tcPr>
          <w:p w14:paraId="7A57F105"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Evidentiary index, flags, summaries, and report-ready outputs</w:t>
            </w:r>
          </w:p>
        </w:tc>
        <w:tc>
          <w:tcPr>
            <w:tcW w:w="0" w:type="auto"/>
            <w:hideMark/>
          </w:tcPr>
          <w:p w14:paraId="1AC65650"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Often strong workflow tools but higher setup complexity</w:t>
            </w:r>
          </w:p>
        </w:tc>
        <w:tc>
          <w:tcPr>
            <w:tcW w:w="0" w:type="auto"/>
            <w:hideMark/>
          </w:tcPr>
          <w:p w14:paraId="45E9FA87"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Usually strongest at document tracking, not deep transaction diligence</w:t>
            </w:r>
          </w:p>
        </w:tc>
      </w:tr>
      <w:tr w:rsidR="00CB078B" w14:paraId="64258C95"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4E7BC" w14:textId="77777777" w:rsidR="00CB078B" w:rsidRDefault="00CB078B" w:rsidP="00445254">
            <w:pPr>
              <w:spacing w:after="160"/>
            </w:pPr>
            <w:r>
              <w:t>Setup speed</w:t>
            </w:r>
          </w:p>
        </w:tc>
        <w:tc>
          <w:tcPr>
            <w:tcW w:w="0" w:type="auto"/>
            <w:hideMark/>
          </w:tcPr>
          <w:p w14:paraId="198AD4BE"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Self-serve launch and browser-native flow</w:t>
            </w:r>
          </w:p>
        </w:tc>
        <w:tc>
          <w:tcPr>
            <w:tcW w:w="0" w:type="auto"/>
            <w:hideMark/>
          </w:tcPr>
          <w:p w14:paraId="7E102E66"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Often sales-assisted and implementation-heavy</w:t>
            </w:r>
          </w:p>
        </w:tc>
        <w:tc>
          <w:tcPr>
            <w:tcW w:w="0" w:type="auto"/>
            <w:hideMark/>
          </w:tcPr>
          <w:p w14:paraId="4DD0F3CB"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Fast link sharing, but limited deep-deal structure</w:t>
            </w:r>
          </w:p>
        </w:tc>
      </w:tr>
    </w:tbl>
    <w:p w14:paraId="0F8F282B" w14:textId="77777777" w:rsidR="00CB078B" w:rsidRDefault="00CB078B" w:rsidP="00CB078B"/>
    <w:p w14:paraId="0204ACA7" w14:textId="77777777" w:rsidR="00CB078B" w:rsidRDefault="00CB078B" w:rsidP="00CB078B">
      <w:pPr>
        <w:pStyle w:val="Heading3"/>
        <w:rPr>
          <w:rFonts w:cstheme="minorBidi"/>
        </w:rPr>
      </w:pPr>
      <w:r>
        <w:rPr>
          <w:rFonts w:cstheme="minorBidi"/>
        </w:rPr>
        <w:t>5. Tailored Use Cases: Engineered for Every Stage of the Deal</w:t>
      </w:r>
    </w:p>
    <w:p w14:paraId="08602A89" w14:textId="77777777" w:rsidR="00CB078B" w:rsidRDefault="00CB078B" w:rsidP="00CB078B">
      <w:pPr>
        <w:pStyle w:val="ListParagraph"/>
        <w:numPr>
          <w:ilvl w:val="0"/>
          <w:numId w:val="21"/>
        </w:numPr>
      </w:pPr>
      <w:r w:rsidRPr="00D9568B">
        <w:rPr>
          <w:b/>
          <w:bCs/>
        </w:rPr>
        <w:t>M&amp;A and corporate development:</w:t>
      </w:r>
      <w:r>
        <w:t xml:space="preserve"> Accelerate buy-side and sell-side transactions with organized tax, legal, financial, HR, IP, customer, and operational files without unpredictable data ceilings.</w:t>
      </w:r>
    </w:p>
    <w:p w14:paraId="6C4C6F29" w14:textId="77777777" w:rsidR="00CB078B" w:rsidRDefault="00CB078B" w:rsidP="00CB078B">
      <w:pPr>
        <w:pStyle w:val="ListParagraph"/>
        <w:numPr>
          <w:ilvl w:val="0"/>
          <w:numId w:val="21"/>
        </w:numPr>
      </w:pPr>
      <w:r>
        <w:rPr>
          <w:b/>
          <w:bCs/>
        </w:rPr>
        <w:t>Divestitures, carve-outs, and restructurings:</w:t>
      </w:r>
      <w:r>
        <w:t xml:space="preserve"> Separate complex document sets, identify missing materials, and prepare controlled disclosure environments for multiple stakeholder groups.</w:t>
      </w:r>
    </w:p>
    <w:p w14:paraId="4B515ADD" w14:textId="77777777" w:rsidR="00CB078B" w:rsidRDefault="00CB078B" w:rsidP="00CB078B">
      <w:pPr>
        <w:pStyle w:val="ListParagraph"/>
        <w:numPr>
          <w:ilvl w:val="0"/>
          <w:numId w:val="21"/>
        </w:numPr>
      </w:pPr>
      <w:r>
        <w:rPr>
          <w:b/>
          <w:bCs/>
        </w:rPr>
        <w:t>Startup fundraising:</w:t>
      </w:r>
      <w:r>
        <w:t xml:space="preserve"> Move from pitch-deck sharing to real diligence with clean, structured, investor-ready data rooms.</w:t>
      </w:r>
    </w:p>
    <w:p w14:paraId="0B17BF42" w14:textId="77777777" w:rsidR="00CB078B" w:rsidRDefault="00CB078B" w:rsidP="00CB078B">
      <w:pPr>
        <w:pStyle w:val="ListParagraph"/>
        <w:numPr>
          <w:ilvl w:val="0"/>
          <w:numId w:val="21"/>
        </w:numPr>
      </w:pPr>
      <w:r>
        <w:rPr>
          <w:b/>
          <w:bCs/>
        </w:rPr>
        <w:t>Commercial real estate:</w:t>
      </w:r>
      <w:r>
        <w:t xml:space="preserve"> Ingest scanned asset books, leases, environmental reports, surveys, zoning files, financial statements, and property records through browser-native OCR workflows.</w:t>
      </w:r>
    </w:p>
    <w:p w14:paraId="2910FAD4" w14:textId="77777777" w:rsidR="00CB078B" w:rsidRDefault="00CB078B" w:rsidP="00CB078B">
      <w:pPr>
        <w:pStyle w:val="ListParagraph"/>
        <w:numPr>
          <w:ilvl w:val="0"/>
          <w:numId w:val="21"/>
        </w:numPr>
      </w:pPr>
      <w:r>
        <w:rPr>
          <w:b/>
          <w:bCs/>
        </w:rPr>
        <w:t>Board governance and audits:</w:t>
      </w:r>
      <w:r>
        <w:t xml:space="preserve"> Maintain structured repositories for minutes, approvals, quarterly materials, audit evidence, and compliance-sensitive records.</w:t>
      </w:r>
    </w:p>
    <w:p w14:paraId="0B73652B" w14:textId="77777777" w:rsidR="00CB078B" w:rsidRDefault="00CB078B" w:rsidP="00CB078B">
      <w:pPr>
        <w:pStyle w:val="Heading3"/>
        <w:rPr>
          <w:rFonts w:cstheme="minorBidi"/>
        </w:rPr>
      </w:pPr>
      <w:r>
        <w:rPr>
          <w:rFonts w:cstheme="minorBidi"/>
        </w:rPr>
        <w:t>6. FAQ Section</w:t>
      </w:r>
    </w:p>
    <w:p w14:paraId="64FCE767" w14:textId="77777777" w:rsidR="00CB078B" w:rsidRDefault="00CB078B" w:rsidP="00CB078B">
      <w:r>
        <w:rPr>
          <w:b/>
          <w:bCs/>
        </w:rPr>
        <w:t>Q: Does my data leave my machine during the initial pass?</w:t>
      </w:r>
      <w:r>
        <w:br/>
      </w:r>
      <w:r>
        <w:rPr>
          <w:b/>
          <w:bCs/>
        </w:rPr>
        <w:t>A:</w:t>
      </w:r>
      <w:r>
        <w:t xml:space="preserve"> The landing-page claim should state that VDRPros uses local browser processing for initial OCR, normalization, and review before cloud publishing, subject to the final product architecture and security disclosures.</w:t>
      </w:r>
    </w:p>
    <w:p w14:paraId="554650E1" w14:textId="77777777" w:rsidR="00CB078B" w:rsidRDefault="00CB078B" w:rsidP="00CB078B">
      <w:r>
        <w:rPr>
          <w:b/>
          <w:bCs/>
        </w:rPr>
        <w:t>Q: How should we explain pricing?</w:t>
      </w:r>
      <w:r>
        <w:br/>
      </w:r>
      <w:r>
        <w:rPr>
          <w:b/>
          <w:bCs/>
        </w:rPr>
        <w:t>A:</w:t>
      </w:r>
      <w:r>
        <w:t xml:space="preserve"> Position VDRPros around predictable pricing and avoidance of page-count, storage-overage, and seat-expansion surprises. Avoid unsupported claims until the exact pricing page language is finalized.</w:t>
      </w:r>
    </w:p>
    <w:p w14:paraId="0599A840" w14:textId="77777777" w:rsidR="00CB078B" w:rsidRDefault="00CB078B" w:rsidP="00CB078B">
      <w:r>
        <w:rPr>
          <w:b/>
          <w:bCs/>
        </w:rPr>
        <w:lastRenderedPageBreak/>
        <w:t>Q: Can outside legal, accounting, and buyer teams access the room?</w:t>
      </w:r>
      <w:r>
        <w:br/>
      </w:r>
      <w:r>
        <w:rPr>
          <w:b/>
          <w:bCs/>
        </w:rPr>
        <w:t>A:</w:t>
      </w:r>
      <w:r>
        <w:t xml:space="preserve"> Yes. Position the product around granular permissions for outside auditors, stakeholders, lenders, tax professionals, legal counsel, buyer teams, sellers, and advisors.</w:t>
      </w:r>
    </w:p>
    <w:p w14:paraId="72D850ED" w14:textId="77777777" w:rsidR="00CB078B" w:rsidRDefault="00CB078B" w:rsidP="00CB078B">
      <w:pPr>
        <w:pStyle w:val="Heading3"/>
        <w:rPr>
          <w:rFonts w:cstheme="minorBidi"/>
        </w:rPr>
      </w:pPr>
      <w:r>
        <w:rPr>
          <w:rFonts w:cstheme="minorBidi"/>
        </w:rPr>
        <w:t>7. Bottom-of-Page CTA</w:t>
      </w:r>
    </w:p>
    <w:p w14:paraId="6FA57E58" w14:textId="77777777" w:rsidR="00CB078B" w:rsidRDefault="00CB078B" w:rsidP="00CB078B">
      <w:r>
        <w:rPr>
          <w:b/>
          <w:bCs/>
        </w:rPr>
        <w:t>Final pitch:</w:t>
      </w:r>
      <w:r>
        <w:t xml:space="preserve"> Take control of your next transaction. Eliminate pricing uncertainty, reduce premature cloud exposure, and move from file sharing to structured diligence execution.</w:t>
      </w:r>
    </w:p>
    <w:p w14:paraId="3AECE5B0" w14:textId="77777777" w:rsidR="00CB078B" w:rsidRDefault="00CB078B" w:rsidP="00CB078B">
      <w:r>
        <w:rPr>
          <w:b/>
          <w:bCs/>
        </w:rPr>
        <w:t>CTA:</w:t>
      </w:r>
      <w:r>
        <w:t xml:space="preserve"> Launch Your Data Room in 60 Seconds. </w:t>
      </w:r>
      <w:r>
        <w:br/>
      </w:r>
      <w:r>
        <w:rPr>
          <w:b/>
          <w:bCs/>
        </w:rPr>
        <w:t>Subtext:</w:t>
      </w:r>
      <w:r>
        <w:t xml:space="preserve"> Free 14-day trial. No credit card </w:t>
      </w:r>
      <w:proofErr w:type="gramStart"/>
      <w:r>
        <w:t>required</w:t>
      </w:r>
      <w:proofErr w:type="gramEnd"/>
      <w:r>
        <w:t>. Cancel anytime.</w:t>
      </w:r>
    </w:p>
    <w:p w14:paraId="2D34642F" w14:textId="77777777" w:rsidR="00CB078B" w:rsidRDefault="00CB078B" w:rsidP="00CB078B">
      <w:pPr>
        <w:pStyle w:val="Heading2"/>
        <w:rPr>
          <w:rFonts w:cstheme="minorBidi"/>
        </w:rPr>
      </w:pPr>
      <w:r>
        <w:rPr>
          <w:rFonts w:cstheme="minorBidi"/>
        </w:rPr>
        <w:t>5. Marketing Swarm-Agent Prompts for the Competitive Landing Page</w:t>
      </w:r>
    </w:p>
    <w:p w14:paraId="4DF43158" w14:textId="77777777" w:rsidR="00CB078B" w:rsidRDefault="00CB078B" w:rsidP="00CB078B">
      <w:pPr>
        <w:pStyle w:val="Heading3"/>
        <w:rPr>
          <w:rFonts w:cstheme="minorBidi"/>
        </w:rPr>
      </w:pPr>
      <w:r>
        <w:rPr>
          <w:rFonts w:cstheme="minorBidi"/>
        </w:rPr>
        <w:t>Marketing Agent 1 Prompt: Landing Page Conversion Copywriter</w:t>
      </w:r>
    </w:p>
    <w:p w14:paraId="2C15E7BE" w14:textId="77777777" w:rsidR="00CB078B" w:rsidRDefault="00CB078B" w:rsidP="00CB078B">
      <w:r>
        <w:t>You are the Landing Page Conversion Copywriter for VDRPros.com. Rewrite the competitive landing page into a high-converting page for corporate finance buyers who are frustrated by legacy VDR pricing, slow onboarding, blind cloud uploads, and shallow document tracking. Use the core message “Built Different. Built Secure. Built for Velocity.” Emphasize automation, pricing predictability, browser-native architecture, local ingestion, OCR, de-duplication, evidentiary indexing, SHA-256 hashing, timestamp seals, and faster deal execution. Avoid vague AI hype. Produce final copy for the hero, problem section, value-prop section, comparison section, use-case blocks, FAQ, and CTA section. Make the tone direct, credible, security-aware, and conversion-focused.</w:t>
      </w:r>
    </w:p>
    <w:p w14:paraId="5F6837A4" w14:textId="77777777" w:rsidR="00CB078B" w:rsidRDefault="00CB078B" w:rsidP="00CB078B">
      <w:pPr>
        <w:pStyle w:val="Heading3"/>
        <w:rPr>
          <w:rFonts w:cstheme="minorBidi"/>
        </w:rPr>
      </w:pPr>
      <w:r>
        <w:rPr>
          <w:rFonts w:cstheme="minorBidi"/>
        </w:rPr>
        <w:t>Marketing Agent 2 Prompt: Corporate Finance Persona Strategist</w:t>
      </w:r>
    </w:p>
    <w:p w14:paraId="3C2B83B1" w14:textId="77777777" w:rsidR="00CB078B" w:rsidRDefault="00CB078B" w:rsidP="00CB078B">
      <w:r>
        <w:t>You are the Corporate Finance Persona Strategist for VDRPros.com. Identify the strongest buyer personas for a modern corporate transaction VDR, including investment bankers, private equity deal teams, corporate development leaders, founders raising capital, CFOs, general counsel, compliance officers, external auditors, tax advisors, lenders, and commercial real estate transaction teams. For each persona, define their transaction pressure, fears, objections, success metrics, language they use, and the VDRPros message most likely to convert them. Tie each persona back to the architecture-led benefits: local browser processing, secure pre-upload file review, automated diligence indexing, cryptographic sealing, predictable pricing, and faster transaction velocity.</w:t>
      </w:r>
    </w:p>
    <w:p w14:paraId="6C67F377" w14:textId="77777777" w:rsidR="00CB078B" w:rsidRDefault="00CB078B" w:rsidP="00CB078B">
      <w:pPr>
        <w:pStyle w:val="Heading3"/>
        <w:rPr>
          <w:rFonts w:cstheme="minorBidi"/>
        </w:rPr>
      </w:pPr>
      <w:r>
        <w:rPr>
          <w:rFonts w:cstheme="minorBidi"/>
        </w:rPr>
        <w:t>Marketing Agent 3 Prompt: Competitive Positioning &amp; Objection Handler</w:t>
      </w:r>
    </w:p>
    <w:p w14:paraId="6AF41816" w14:textId="77777777" w:rsidR="00CB078B" w:rsidRDefault="00CB078B" w:rsidP="00CB078B">
      <w:r>
        <w:t xml:space="preserve">You are the Competitive Positioning and Objection Handler for VDRPros.com. Build messaging that contrasts VDRPros against legacy VDRs and lightweight document trackers without making unsupported claims. Focus on the buyer’s objections: “Will this be secure </w:t>
      </w:r>
      <w:r>
        <w:lastRenderedPageBreak/>
        <w:t>enough?”, “Will pricing surprise us?”, “Can we invite external counsel and auditors?”, “Can it handle deep diligence?”, “How is this different from DocSend-style tracking?”, and “Why not use an established legacy VDR?” Produce objection-handling copy, comparison bullets, risk-reversal language, competitor-neutral phrasing, and proof points VDRPros should gather before launch. Emphasize that VDRPros flips the cloud-first paradigm by letting users audit, clean, OCR, and organize files locally before syncing or sharing.</w:t>
      </w:r>
    </w:p>
    <w:p w14:paraId="314CE793" w14:textId="77777777" w:rsidR="00CB078B" w:rsidRDefault="00CB078B" w:rsidP="00CB078B">
      <w:pPr>
        <w:pStyle w:val="Heading3"/>
        <w:rPr>
          <w:rFonts w:cstheme="minorBidi"/>
        </w:rPr>
      </w:pPr>
      <w:r>
        <w:rPr>
          <w:rFonts w:cstheme="minorBidi"/>
        </w:rPr>
        <w:t>Marketing Agent 4 Prompt: SEO Landing Page Architect</w:t>
      </w:r>
    </w:p>
    <w:p w14:paraId="6E5CB550" w14:textId="77777777" w:rsidR="00CB078B" w:rsidRDefault="00CB078B" w:rsidP="00CB078B">
      <w:r>
        <w:t>You are the SEO Landing Page Architect for VDRPros.com. Design the search strategy for competitive and category landing pages targeting corporate finance buyers. Build page outlines, keyword clusters, metadata, FAQ schema topics, internal-link recommendations, and conversion-focused calls to action for pages such as “VDRPros vs. Legacy VDRs,” “Stop Paying Per Page for Your VDR,” “Modern M&amp;A Data Room,” “Divestiture Data Room,” “Startup Fundraising Data Room,” and “DocSend Alternative for Due Diligence.” Prioritize keywords around predictable VDR pricing, M&amp;A due diligence software, acquisition data room, divestiture data room, secure document collaboration, local OCR, audit-ready data room, and cryptographic document verification.</w:t>
      </w:r>
    </w:p>
    <w:p w14:paraId="75A49FC4" w14:textId="77777777" w:rsidR="00CB078B" w:rsidRDefault="00CB078B" w:rsidP="00CB078B">
      <w:pPr>
        <w:pStyle w:val="Heading3"/>
        <w:rPr>
          <w:rFonts w:cstheme="minorBidi"/>
        </w:rPr>
      </w:pPr>
      <w:r>
        <w:rPr>
          <w:rFonts w:cstheme="minorBidi"/>
        </w:rPr>
        <w:t>Marketing Agent 5 Prompt: Lifecycle Email &amp; Demo Funnel Strategist</w:t>
      </w:r>
    </w:p>
    <w:p w14:paraId="47921D03" w14:textId="77777777" w:rsidR="00CB078B" w:rsidRDefault="00CB078B" w:rsidP="00CB078B">
      <w:r>
        <w:t>You are the Lifecycle Email and Demo Funnel Strategist for VDRPros.com. Create conversion assets that move corporate finance prospects from landing-page visitor to trial user or demo booking. Build an email sequence, demo follow-up messages, trial onboarding emails, retargeting copy, and sales enablement snippets around the core promise: stop unpredictable VDR costs, reduce blind cloud uploads, automate diligence organization, and preserve document integrity with cryptographic proof. Segment the funnel for investment banking, private equity, corporate development, startup fundraising, legal, accounting, and commercial real estate audiences. Include recommended subject lines, CTAs, urgency triggers, and trust-building proof points.</w:t>
      </w:r>
    </w:p>
    <w:p w14:paraId="4B6FCAD7" w14:textId="77777777" w:rsidR="00CB078B" w:rsidRDefault="00CB078B" w:rsidP="00CB078B">
      <w:pPr>
        <w:pStyle w:val="Heading3"/>
        <w:rPr>
          <w:rFonts w:cstheme="minorBidi"/>
        </w:rPr>
      </w:pPr>
      <w:r>
        <w:rPr>
          <w:rFonts w:cstheme="minorBidi"/>
        </w:rPr>
        <w:t>Marketing Agent 6 Prompt: Trust, Security &amp; Compliance Messaging Reviewer</w:t>
      </w:r>
    </w:p>
    <w:p w14:paraId="1AC57047" w14:textId="77777777" w:rsidR="00CB078B" w:rsidRDefault="00CB078B" w:rsidP="00CB078B">
      <w:r>
        <w:t xml:space="preserve">You are the Trust, Security, and Compliance Messaging Reviewer for VDRPros.com marketing. Review all landing-page, SEO, sales, and email messaging for credibility and compliance risk. </w:t>
      </w:r>
      <w:proofErr w:type="gramStart"/>
      <w:r>
        <w:t>Strengthen</w:t>
      </w:r>
      <w:proofErr w:type="gramEnd"/>
      <w:r>
        <w:t xml:space="preserve"> claims around local browser processing, zero-cloud ingestion during initial review, OCR, file de-duplication, metadata anomaly detection, SHA-256 hashing, timestamp seals, chain of custody, audit-readiness, and external stakeholder permissions. Flag any wording that sounds absolute, legally risky, technically unsupported, or too </w:t>
      </w:r>
      <w:proofErr w:type="gramStart"/>
      <w:r>
        <w:t>hype-driven</w:t>
      </w:r>
      <w:proofErr w:type="gramEnd"/>
      <w:r>
        <w:t xml:space="preserve">. Replace risky claims with precise, defensible language that still </w:t>
      </w:r>
      <w:r>
        <w:lastRenderedPageBreak/>
        <w:t>converts corporate finance buyers. Deliver an approved claims library, claims to avoid, security FAQ copy, and trust-building proof points needed before launch.</w:t>
      </w:r>
    </w:p>
    <w:p w14:paraId="237102ED" w14:textId="77777777" w:rsidR="00CB078B" w:rsidRDefault="00CB078B" w:rsidP="00CB078B">
      <w:pPr>
        <w:pStyle w:val="Heading2"/>
        <w:rPr>
          <w:rFonts w:cstheme="minorBidi"/>
        </w:rPr>
      </w:pPr>
      <w:r w:rsidRPr="002D1922">
        <w:rPr>
          <w:rFonts w:cstheme="minorBidi"/>
        </w:rPr>
        <w:t xml:space="preserve">6. Primary Market Segments </w:t>
      </w:r>
      <w:proofErr w:type="gramStart"/>
      <w:r w:rsidRPr="002D1922">
        <w:rPr>
          <w:rFonts w:cstheme="minorBidi"/>
        </w:rPr>
        <w:t>to</w:t>
      </w:r>
      <w:proofErr w:type="gramEnd"/>
      <w:r w:rsidRPr="002D1922">
        <w:rPr>
          <w:rFonts w:cstheme="minorBidi"/>
        </w:rPr>
        <w:t xml:space="preserve"> Research</w:t>
      </w:r>
    </w:p>
    <w:tbl>
      <w:tblPr>
        <w:tblStyle w:val="GridTable4-Accent1"/>
        <w:tblW w:w="5000" w:type="pct"/>
        <w:tblLook w:val="04A0" w:firstRow="1" w:lastRow="0" w:firstColumn="1" w:lastColumn="0" w:noHBand="0" w:noVBand="1"/>
      </w:tblPr>
      <w:tblGrid>
        <w:gridCol w:w="1837"/>
        <w:gridCol w:w="2815"/>
        <w:gridCol w:w="2091"/>
        <w:gridCol w:w="2607"/>
      </w:tblGrid>
      <w:tr w:rsidR="00CB078B" w14:paraId="3D11334F"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9FB3D" w14:textId="77777777" w:rsidR="00CB078B" w:rsidRDefault="00CB078B" w:rsidP="00445254">
            <w:pPr>
              <w:spacing w:after="160"/>
            </w:pPr>
            <w:r>
              <w:t>Segment</w:t>
            </w:r>
          </w:p>
        </w:tc>
        <w:tc>
          <w:tcPr>
            <w:tcW w:w="0" w:type="auto"/>
            <w:hideMark/>
          </w:tcPr>
          <w:p w14:paraId="65783564"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Customer Need</w:t>
            </w:r>
          </w:p>
        </w:tc>
        <w:tc>
          <w:tcPr>
            <w:tcW w:w="0" w:type="auto"/>
            <w:hideMark/>
          </w:tcPr>
          <w:p w14:paraId="4FA51C30"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VDRPros Edge</w:t>
            </w:r>
          </w:p>
        </w:tc>
        <w:tc>
          <w:tcPr>
            <w:tcW w:w="0" w:type="auto"/>
            <w:hideMark/>
          </w:tcPr>
          <w:p w14:paraId="0C3735A2"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Agent Research Tasks</w:t>
            </w:r>
          </w:p>
        </w:tc>
      </w:tr>
      <w:tr w:rsidR="00CB078B" w14:paraId="723B9AC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A4506" w14:textId="77777777" w:rsidR="00CB078B" w:rsidRDefault="00CB078B" w:rsidP="00445254">
            <w:r w:rsidRPr="00296494">
              <w:t>Investment Banking, Mergers, Acquisitions &amp; Divestitures Across All Industries</w:t>
            </w:r>
          </w:p>
        </w:tc>
        <w:tc>
          <w:tcPr>
            <w:tcW w:w="0" w:type="auto"/>
            <w:hideMark/>
          </w:tcPr>
          <w:p w14:paraId="5166E386" w14:textId="77777777" w:rsidR="00CB078B" w:rsidRDefault="00CB078B" w:rsidP="00445254">
            <w:pPr>
              <w:cnfStyle w:val="000000100000" w:firstRow="0" w:lastRow="0" w:firstColumn="0" w:lastColumn="0" w:oddVBand="0" w:evenVBand="0" w:oddHBand="1" w:evenHBand="0" w:firstRowFirstColumn="0" w:firstRowLastColumn="0" w:lastRowFirstColumn="0" w:lastRowLastColumn="0"/>
            </w:pPr>
            <w:r w:rsidRPr="00CD5120">
              <w:t>Support acquisition, divestiture, merger, carve-out, spin-off, recapitalization, restructuring, financing, and strategic partnership transactions across every realistic industry vertical by securely sharing financial models, tax records, corporate charters, customer contracts, HR records, IP files, operational documents, diligence materials, and deal documents with buyers, sellers, advisors, investors, lenders, auditors, and counsel.</w:t>
            </w:r>
          </w:p>
        </w:tc>
        <w:tc>
          <w:tcPr>
            <w:tcW w:w="0" w:type="auto"/>
            <w:hideMark/>
          </w:tcPr>
          <w:p w14:paraId="73337E8B"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Potentially lower-cost data-room model, local-browser OCR, cryptographic sealing, and AI-generated diligence summaries.</w:t>
            </w:r>
          </w:p>
        </w:tc>
        <w:tc>
          <w:tcPr>
            <w:tcW w:w="0" w:type="auto"/>
            <w:hideMark/>
          </w:tcPr>
          <w:p w14:paraId="198A85CC" w14:textId="77777777" w:rsidR="00CB078B" w:rsidRDefault="00CB078B" w:rsidP="00445254">
            <w:pPr>
              <w:cnfStyle w:val="000000100000" w:firstRow="0" w:lastRow="0" w:firstColumn="0" w:lastColumn="0" w:oddVBand="0" w:evenVBand="0" w:oddHBand="1" w:evenHBand="0" w:firstRowFirstColumn="0" w:firstRowLastColumn="0" w:lastRowFirstColumn="0" w:lastRowLastColumn="0"/>
            </w:pPr>
            <w:r>
              <w:t xml:space="preserve">Research buyer personas, competitor pricing, M&amp;A </w:t>
            </w:r>
            <w:r w:rsidRPr="00CA411A">
              <w:t xml:space="preserve">and divestiture </w:t>
            </w:r>
            <w:r>
              <w:t xml:space="preserve">VDR keyword demand, diligence workflow requirements, and must-have features for </w:t>
            </w:r>
            <w:r w:rsidRPr="00CA411A">
              <w:t xml:space="preserve">investment </w:t>
            </w:r>
            <w:r>
              <w:t>bankers</w:t>
            </w:r>
            <w:r w:rsidRPr="00CA411A">
              <w:t>, corporate development teams, private equity firms, strategic acquirers, restructuring</w:t>
            </w:r>
            <w:r>
              <w:t xml:space="preserve"> advisors</w:t>
            </w:r>
            <w:r w:rsidRPr="00CA411A">
              <w:t>, auditors, lenders, and legal counsel across industry-specific deal types</w:t>
            </w:r>
            <w:r>
              <w:t>.</w:t>
            </w:r>
          </w:p>
        </w:tc>
      </w:tr>
      <w:tr w:rsidR="00CB078B" w14:paraId="1C5112E0"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73ADC2EB" w14:textId="77777777" w:rsidR="00CB078B" w:rsidRDefault="00CB078B" w:rsidP="00445254">
            <w:pPr>
              <w:spacing w:after="160"/>
            </w:pPr>
            <w:r>
              <w:t>Startup Fundraising &amp; Venture Capital</w:t>
            </w:r>
          </w:p>
        </w:tc>
        <w:tc>
          <w:tcPr>
            <w:tcW w:w="0" w:type="auto"/>
            <w:hideMark/>
          </w:tcPr>
          <w:p w14:paraId="6C1BB0AC"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Founders need secure, investor-ready data rooms for pitch decks, cap tables, employee agreements, financial projections, IP documents, and governance records.</w:t>
            </w:r>
          </w:p>
        </w:tc>
        <w:tc>
          <w:tcPr>
            <w:tcW w:w="0" w:type="auto"/>
            <w:hideMark/>
          </w:tcPr>
          <w:p w14:paraId="7D55A7B3"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Fast setup, automated document structuring, red-flag tagging, and a founder-friendly trial offer.</w:t>
            </w:r>
          </w:p>
        </w:tc>
        <w:tc>
          <w:tcPr>
            <w:tcW w:w="0" w:type="auto"/>
            <w:hideMark/>
          </w:tcPr>
          <w:p w14:paraId="5A0F698C"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Research investor diligence checklists, startup data-room templates, founder pain points, pricing expectations, and landing-page messaging.</w:t>
            </w:r>
          </w:p>
        </w:tc>
      </w:tr>
      <w:tr w:rsidR="00CB078B" w14:paraId="2ADACE2D"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DEE3E" w14:textId="77777777" w:rsidR="00CB078B" w:rsidRDefault="00CB078B" w:rsidP="00445254">
            <w:pPr>
              <w:spacing w:after="160"/>
            </w:pPr>
            <w:r>
              <w:t>Commercial Real Estate Transactions</w:t>
            </w:r>
          </w:p>
        </w:tc>
        <w:tc>
          <w:tcPr>
            <w:tcW w:w="0" w:type="auto"/>
            <w:hideMark/>
          </w:tcPr>
          <w:p w14:paraId="61B9BCAE"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Asset managers, brokers, lenders, and buyers need to manage leases, environmental reports, zoning permits, surveys, financial statements, and property records.</w:t>
            </w:r>
          </w:p>
        </w:tc>
        <w:tc>
          <w:tcPr>
            <w:tcW w:w="0" w:type="auto"/>
            <w:hideMark/>
          </w:tcPr>
          <w:p w14:paraId="2D88384D"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 xml:space="preserve">Local OCR and mixed-file processing can extract clauses and key terms from scanned leases, PDFs, </w:t>
            </w:r>
            <w:r>
              <w:lastRenderedPageBreak/>
              <w:t>spreadsheets, and images.</w:t>
            </w:r>
          </w:p>
        </w:tc>
        <w:tc>
          <w:tcPr>
            <w:tcW w:w="0" w:type="auto"/>
            <w:hideMark/>
          </w:tcPr>
          <w:p w14:paraId="5DE4BAB0"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lastRenderedPageBreak/>
              <w:t>Research CRE diligence workflows, lease abstraction needs, property transaction document types, and integrations useful to CRE teams.</w:t>
            </w:r>
          </w:p>
        </w:tc>
      </w:tr>
      <w:tr w:rsidR="00CB078B" w14:paraId="4C9B1D3E"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27245ED4" w14:textId="77777777" w:rsidR="00CB078B" w:rsidRDefault="00CB078B" w:rsidP="00445254">
            <w:pPr>
              <w:spacing w:after="160"/>
            </w:pPr>
            <w:r>
              <w:t>Corporate Governance &amp; Board Portals</w:t>
            </w:r>
          </w:p>
        </w:tc>
        <w:tc>
          <w:tcPr>
            <w:tcW w:w="0" w:type="auto"/>
            <w:hideMark/>
          </w:tcPr>
          <w:p w14:paraId="3956B39F"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Companies need secure repositories for board materials, minutes, compliance audits, quarterly reviews, approvals, and sensitive governance records.</w:t>
            </w:r>
          </w:p>
        </w:tc>
        <w:tc>
          <w:tcPr>
            <w:tcW w:w="0" w:type="auto"/>
            <w:hideMark/>
          </w:tcPr>
          <w:p w14:paraId="4E35B4FA"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SHA-256 hashing, immutable sealing, and document-integrity verification appeal to compliance officers, auditors, boards, and executives.</w:t>
            </w:r>
          </w:p>
        </w:tc>
        <w:tc>
          <w:tcPr>
            <w:tcW w:w="0" w:type="auto"/>
            <w:hideMark/>
          </w:tcPr>
          <w:p w14:paraId="7D6CA8F8"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Research board portal competitors, governance compliance needs, audit-readiness requirements, and messaging around tamper-evident records.</w:t>
            </w:r>
          </w:p>
        </w:tc>
      </w:tr>
    </w:tbl>
    <w:p w14:paraId="75BDA3C5" w14:textId="77777777" w:rsidR="00CB078B" w:rsidRDefault="00CB078B" w:rsidP="00CB078B"/>
    <w:p w14:paraId="0740AB04" w14:textId="77777777" w:rsidR="00CB078B" w:rsidRDefault="00CB078B" w:rsidP="00CB078B">
      <w:pPr>
        <w:pStyle w:val="Heading2"/>
        <w:rPr>
          <w:rFonts w:cstheme="minorBidi"/>
        </w:rPr>
      </w:pPr>
      <w:r w:rsidRPr="00B1502A">
        <w:rPr>
          <w:rFonts w:cstheme="minorBidi"/>
        </w:rPr>
        <w:t>7. Website &amp; SEO Implementation Workstreams</w:t>
      </w:r>
    </w:p>
    <w:p w14:paraId="56ED620A" w14:textId="77777777" w:rsidR="00CB078B" w:rsidRDefault="00CB078B" w:rsidP="00CB078B">
      <w:pPr>
        <w:pStyle w:val="ListParagraph"/>
        <w:numPr>
          <w:ilvl w:val="0"/>
          <w:numId w:val="14"/>
        </w:numPr>
      </w:pPr>
      <w:r w:rsidRPr="00BC24B7">
        <w:rPr>
          <w:b/>
          <w:bCs/>
        </w:rPr>
        <w:t>Create dedicated use-case pages:</w:t>
      </w:r>
      <w:r>
        <w:t xml:space="preserve"> M&amp;A virtual data room, startup fundraising data room, commercial real estate diligence room, board governance document vault, and secure AI due diligence platform.</w:t>
      </w:r>
    </w:p>
    <w:p w14:paraId="6BD6EC34" w14:textId="77777777" w:rsidR="00CB078B" w:rsidRDefault="00CB078B" w:rsidP="00CB078B">
      <w:pPr>
        <w:pStyle w:val="ListParagraph"/>
        <w:numPr>
          <w:ilvl w:val="0"/>
          <w:numId w:val="14"/>
        </w:numPr>
      </w:pPr>
      <w:r>
        <w:rPr>
          <w:b/>
          <w:bCs/>
        </w:rPr>
        <w:t>Rewrite homepage hero messaging:</w:t>
      </w:r>
      <w:r>
        <w:t xml:space="preserve"> Replace narrow legal/eDiscovery language with broader corporate-transaction language that still preserves credibility for legal users.</w:t>
      </w:r>
    </w:p>
    <w:p w14:paraId="2F30672D" w14:textId="77777777" w:rsidR="00CB078B" w:rsidRDefault="00CB078B" w:rsidP="00CB078B">
      <w:pPr>
        <w:pStyle w:val="ListParagraph"/>
        <w:numPr>
          <w:ilvl w:val="0"/>
          <w:numId w:val="14"/>
        </w:numPr>
      </w:pPr>
      <w:r>
        <w:rPr>
          <w:b/>
          <w:bCs/>
        </w:rPr>
        <w:t>Build keyword clusters:</w:t>
      </w:r>
      <w:r>
        <w:t xml:space="preserve"> AI virtual data room, M&amp;A due diligence software, secure startup data room, investor data room, commercial real estate diligence software, board document portal, cryptographic document vault, secure data collaboration, document integrity verification, local OCR data room.</w:t>
      </w:r>
    </w:p>
    <w:p w14:paraId="6EF2EC8E" w14:textId="77777777" w:rsidR="00CB078B" w:rsidRDefault="00CB078B" w:rsidP="00CB078B">
      <w:pPr>
        <w:pStyle w:val="ListParagraph"/>
        <w:numPr>
          <w:ilvl w:val="0"/>
          <w:numId w:val="14"/>
        </w:numPr>
      </w:pPr>
      <w:r>
        <w:rPr>
          <w:b/>
          <w:bCs/>
        </w:rPr>
        <w:t>Clarify product differentiators:</w:t>
      </w:r>
      <w:r>
        <w:t xml:space="preserve"> Local-browser OCR, lower storage-cost profile, cryptographic seals, automated diligence reports, document red-flagging, and secure collaboration workflows.</w:t>
      </w:r>
    </w:p>
    <w:p w14:paraId="786A012A" w14:textId="77777777" w:rsidR="00CB078B" w:rsidRDefault="00CB078B" w:rsidP="00CB078B">
      <w:pPr>
        <w:pStyle w:val="ListParagraph"/>
        <w:numPr>
          <w:ilvl w:val="0"/>
          <w:numId w:val="14"/>
        </w:numPr>
      </w:pPr>
      <w:r>
        <w:rPr>
          <w:b/>
          <w:bCs/>
        </w:rPr>
        <w:t>Update navigation architecture:</w:t>
      </w:r>
      <w:r>
        <w:t xml:space="preserve"> Add “Use Cases,” “Solutions,” “Industries,” “Security,” “Pricing,” and “Resources” sections to help search engines and buyers understand the broader product scope.</w:t>
      </w:r>
    </w:p>
    <w:p w14:paraId="15BB9295" w14:textId="77777777" w:rsidR="00CB078B" w:rsidRDefault="00CB078B" w:rsidP="00CB078B">
      <w:pPr>
        <w:pStyle w:val="Heading2"/>
        <w:rPr>
          <w:rFonts w:cstheme="minorBidi"/>
        </w:rPr>
      </w:pPr>
      <w:r w:rsidRPr="003A11B2">
        <w:rPr>
          <w:rFonts w:cstheme="minorBidi"/>
        </w:rPr>
        <w:t>8. Swarm-Agent Assignment Plan</w:t>
      </w:r>
    </w:p>
    <w:tbl>
      <w:tblPr>
        <w:tblStyle w:val="GridTable4-Accent1"/>
        <w:tblW w:w="5000" w:type="pct"/>
        <w:tblLook w:val="04A0" w:firstRow="1" w:lastRow="0" w:firstColumn="1" w:lastColumn="0" w:noHBand="0" w:noVBand="1"/>
      </w:tblPr>
      <w:tblGrid>
        <w:gridCol w:w="1076"/>
        <w:gridCol w:w="2281"/>
        <w:gridCol w:w="5993"/>
      </w:tblGrid>
      <w:tr w:rsidR="00CB078B" w14:paraId="2CE6F97E"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57F32E60" w14:textId="77777777" w:rsidR="00CB078B" w:rsidRDefault="00CB078B" w:rsidP="00445254">
            <w:pPr>
              <w:spacing w:after="160"/>
            </w:pPr>
            <w:r>
              <w:t>Agent</w:t>
            </w:r>
          </w:p>
        </w:tc>
        <w:tc>
          <w:tcPr>
            <w:tcW w:w="1220" w:type="pct"/>
            <w:hideMark/>
          </w:tcPr>
          <w:p w14:paraId="27470752"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Role</w:t>
            </w:r>
          </w:p>
        </w:tc>
        <w:tc>
          <w:tcPr>
            <w:tcW w:w="0" w:type="auto"/>
            <w:hideMark/>
          </w:tcPr>
          <w:p w14:paraId="6AF0A496"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Primary Output</w:t>
            </w:r>
          </w:p>
        </w:tc>
      </w:tr>
      <w:tr w:rsidR="00CB078B" w14:paraId="4B52D698"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33FE18F0" w14:textId="77777777" w:rsidR="00CB078B" w:rsidRDefault="00CB078B" w:rsidP="00445254">
            <w:pPr>
              <w:spacing w:after="160"/>
            </w:pPr>
            <w:r>
              <w:t>Agent 1</w:t>
            </w:r>
          </w:p>
        </w:tc>
        <w:tc>
          <w:tcPr>
            <w:tcW w:w="1220" w:type="pct"/>
            <w:hideMark/>
          </w:tcPr>
          <w:p w14:paraId="360F7193"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Market Research Analyst</w:t>
            </w:r>
          </w:p>
        </w:tc>
        <w:tc>
          <w:tcPr>
            <w:tcW w:w="0" w:type="auto"/>
            <w:hideMark/>
          </w:tcPr>
          <w:p w14:paraId="0984EBB3"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Rank the highest-value verticals, buyer personas, pain points, pricing expectations, and conversion triggers.</w:t>
            </w:r>
          </w:p>
        </w:tc>
      </w:tr>
      <w:tr w:rsidR="00CB078B" w14:paraId="5AF12995" w14:textId="77777777" w:rsidTr="00445254">
        <w:tc>
          <w:tcPr>
            <w:cnfStyle w:val="001000000000" w:firstRow="0" w:lastRow="0" w:firstColumn="1" w:lastColumn="0" w:oddVBand="0" w:evenVBand="0" w:oddHBand="0" w:evenHBand="0" w:firstRowFirstColumn="0" w:firstRowLastColumn="0" w:lastRowFirstColumn="0" w:lastRowLastColumn="0"/>
            <w:tcW w:w="575" w:type="pct"/>
            <w:hideMark/>
          </w:tcPr>
          <w:p w14:paraId="43FF5145" w14:textId="77777777" w:rsidR="00CB078B" w:rsidRDefault="00CB078B" w:rsidP="00445254">
            <w:pPr>
              <w:spacing w:after="160"/>
            </w:pPr>
            <w:r>
              <w:lastRenderedPageBreak/>
              <w:t>Agent 2</w:t>
            </w:r>
          </w:p>
        </w:tc>
        <w:tc>
          <w:tcPr>
            <w:tcW w:w="1220" w:type="pct"/>
            <w:hideMark/>
          </w:tcPr>
          <w:p w14:paraId="34DDABEB"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SEO &amp; Content Strategist</w:t>
            </w:r>
          </w:p>
        </w:tc>
        <w:tc>
          <w:tcPr>
            <w:tcW w:w="0" w:type="auto"/>
            <w:hideMark/>
          </w:tcPr>
          <w:p w14:paraId="371926C5"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Create keyword clusters, landing-page briefs, meta titles, meta descriptions, FAQ topics, and internal-linking recommendations.</w:t>
            </w:r>
          </w:p>
        </w:tc>
      </w:tr>
      <w:tr w:rsidR="00CB078B" w14:paraId="377A108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70D5270C" w14:textId="77777777" w:rsidR="00CB078B" w:rsidRDefault="00CB078B" w:rsidP="00445254">
            <w:pPr>
              <w:spacing w:after="160"/>
            </w:pPr>
            <w:r>
              <w:t>Agent 3</w:t>
            </w:r>
          </w:p>
        </w:tc>
        <w:tc>
          <w:tcPr>
            <w:tcW w:w="1220" w:type="pct"/>
            <w:hideMark/>
          </w:tcPr>
          <w:p w14:paraId="3C47E31B"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Competitive Intelligence Analyst</w:t>
            </w:r>
          </w:p>
        </w:tc>
        <w:tc>
          <w:tcPr>
            <w:tcW w:w="0" w:type="auto"/>
            <w:hideMark/>
          </w:tcPr>
          <w:p w14:paraId="2CE06471"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Compare VDRPros against major VDR, board portal, diligence, and secure-document competitors; identify gaps and differentiators.</w:t>
            </w:r>
          </w:p>
        </w:tc>
      </w:tr>
      <w:tr w:rsidR="00CB078B" w14:paraId="357AD108" w14:textId="77777777" w:rsidTr="00445254">
        <w:tc>
          <w:tcPr>
            <w:cnfStyle w:val="001000000000" w:firstRow="0" w:lastRow="0" w:firstColumn="1" w:lastColumn="0" w:oddVBand="0" w:evenVBand="0" w:oddHBand="0" w:evenHBand="0" w:firstRowFirstColumn="0" w:firstRowLastColumn="0" w:lastRowFirstColumn="0" w:lastRowLastColumn="0"/>
            <w:tcW w:w="575" w:type="pct"/>
            <w:hideMark/>
          </w:tcPr>
          <w:p w14:paraId="60D8DDD6" w14:textId="77777777" w:rsidR="00CB078B" w:rsidRDefault="00CB078B" w:rsidP="00445254">
            <w:pPr>
              <w:spacing w:after="160"/>
            </w:pPr>
            <w:r>
              <w:t>Agent 4</w:t>
            </w:r>
          </w:p>
        </w:tc>
        <w:tc>
          <w:tcPr>
            <w:tcW w:w="1220" w:type="pct"/>
            <w:hideMark/>
          </w:tcPr>
          <w:p w14:paraId="7AC34FED"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Product Manager</w:t>
            </w:r>
          </w:p>
        </w:tc>
        <w:tc>
          <w:tcPr>
            <w:tcW w:w="0" w:type="auto"/>
            <w:hideMark/>
          </w:tcPr>
          <w:p w14:paraId="31DE3A99"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Translate research into product requirements, user stories, feature priorities, and an implementation roadmap for vdrpros.com.</w:t>
            </w:r>
          </w:p>
        </w:tc>
      </w:tr>
      <w:tr w:rsidR="00CB078B" w14:paraId="543C0A8B"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hideMark/>
          </w:tcPr>
          <w:p w14:paraId="43B1E464" w14:textId="77777777" w:rsidR="00CB078B" w:rsidRDefault="00CB078B" w:rsidP="00445254">
            <w:pPr>
              <w:spacing w:after="160"/>
            </w:pPr>
            <w:r>
              <w:t>Agent 5</w:t>
            </w:r>
          </w:p>
        </w:tc>
        <w:tc>
          <w:tcPr>
            <w:tcW w:w="1220" w:type="pct"/>
            <w:hideMark/>
          </w:tcPr>
          <w:p w14:paraId="1A93AAEB"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Full-Stack Implementation Planner</w:t>
            </w:r>
          </w:p>
        </w:tc>
        <w:tc>
          <w:tcPr>
            <w:tcW w:w="0" w:type="auto"/>
            <w:hideMark/>
          </w:tcPr>
          <w:p w14:paraId="2E10C400"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Recommend site architecture, page templates, calls to action, onboarding flows, pricing experiments, and technical implementation tasks.</w:t>
            </w:r>
          </w:p>
        </w:tc>
      </w:tr>
      <w:tr w:rsidR="00CB078B" w14:paraId="39A817FD" w14:textId="77777777" w:rsidTr="00445254">
        <w:tc>
          <w:tcPr>
            <w:cnfStyle w:val="001000000000" w:firstRow="0" w:lastRow="0" w:firstColumn="1" w:lastColumn="0" w:oddVBand="0" w:evenVBand="0" w:oddHBand="0" w:evenHBand="0" w:firstRowFirstColumn="0" w:firstRowLastColumn="0" w:lastRowFirstColumn="0" w:lastRowLastColumn="0"/>
            <w:tcW w:w="575" w:type="pct"/>
            <w:hideMark/>
          </w:tcPr>
          <w:p w14:paraId="1E6D4878" w14:textId="77777777" w:rsidR="00CB078B" w:rsidRDefault="00CB078B" w:rsidP="00445254">
            <w:pPr>
              <w:spacing w:after="160"/>
            </w:pPr>
            <w:r>
              <w:t>Agent 6</w:t>
            </w:r>
          </w:p>
        </w:tc>
        <w:tc>
          <w:tcPr>
            <w:tcW w:w="1220" w:type="pct"/>
            <w:hideMark/>
          </w:tcPr>
          <w:p w14:paraId="6181F27E"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Security &amp; Compliance Reviewer</w:t>
            </w:r>
          </w:p>
        </w:tc>
        <w:tc>
          <w:tcPr>
            <w:tcW w:w="0" w:type="auto"/>
            <w:hideMark/>
          </w:tcPr>
          <w:p w14:paraId="5140AFE0"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Validate messaging around cryptographic seals, SHA-256 hashing, local processing, auditability, privacy, and compliance-sensitive use cases.</w:t>
            </w:r>
          </w:p>
        </w:tc>
      </w:tr>
    </w:tbl>
    <w:p w14:paraId="00AD292B" w14:textId="77777777" w:rsidR="00CB078B" w:rsidRDefault="00CB078B" w:rsidP="00CB078B"/>
    <w:p w14:paraId="0E110B73" w14:textId="77777777" w:rsidR="00CB078B" w:rsidRDefault="00CB078B" w:rsidP="00CB078B">
      <w:pPr>
        <w:pStyle w:val="Heading2"/>
        <w:rPr>
          <w:rFonts w:cstheme="minorBidi"/>
        </w:rPr>
      </w:pPr>
      <w:r w:rsidRPr="00CF28D1">
        <w:rPr>
          <w:rFonts w:cstheme="minorBidi"/>
        </w:rPr>
        <w:t>9. Master Prompt for Swarm Agents</w:t>
      </w:r>
    </w:p>
    <w:p w14:paraId="3EF0F06D" w14:textId="77777777" w:rsidR="00CB078B" w:rsidRDefault="00CB078B" w:rsidP="00CB078B">
      <w:r>
        <w:t xml:space="preserve">“You are part of a swarm-agent team researching and implementing a repositioning strategy for VDRPros.com. The goal is to expand VDRPros from a legal/eDiscovery-focused virtual data room into an AI-driven platform for secure corporate transactions, </w:t>
      </w:r>
      <w:r w:rsidRPr="00C579B8">
        <w:t>mergers, acquisitions, divestitures, carve-outs, spin-offs,</w:t>
      </w:r>
      <w:r>
        <w:t xml:space="preserve"> fundraising, commercial real estate diligence, board governance, and cryptographically verifiable document collaboration</w:t>
      </w:r>
      <w:r w:rsidRPr="00C579B8">
        <w:t xml:space="preserve"> across every realistic industry vertical.</w:t>
      </w:r>
      <w:r>
        <w:t xml:space="preserve"> Research the assigned area deeply, identify buyer personas, pain points, keywords, competitive gaps, product requirements, UX improvements, landing-page recommendations, and implementation steps. Provide clear recommendations that can be turned directly into website updates, product roadmap items, marketing copy, and development tasks.”</w:t>
      </w:r>
    </w:p>
    <w:p w14:paraId="3C446D09" w14:textId="77777777" w:rsidR="00CB078B" w:rsidRDefault="00CB078B" w:rsidP="00CB078B">
      <w:pPr>
        <w:pStyle w:val="Heading2"/>
        <w:rPr>
          <w:rFonts w:cstheme="minorBidi"/>
        </w:rPr>
      </w:pPr>
      <w:r w:rsidRPr="00363391">
        <w:rPr>
          <w:rFonts w:cstheme="minorBidi"/>
        </w:rPr>
        <w:t>10. Individual Swarm-Agent Prompts</w:t>
      </w:r>
    </w:p>
    <w:p w14:paraId="2817D5ED" w14:textId="77777777" w:rsidR="00CB078B" w:rsidRDefault="00CB078B" w:rsidP="00CB078B">
      <w:pPr>
        <w:pStyle w:val="Heading3"/>
        <w:rPr>
          <w:rFonts w:cstheme="minorBidi"/>
        </w:rPr>
      </w:pPr>
      <w:r>
        <w:rPr>
          <w:rFonts w:cstheme="minorBidi"/>
        </w:rPr>
        <w:t>Agent 1 Prompt: Market Research Analyst</w:t>
      </w:r>
    </w:p>
    <w:p w14:paraId="3576AEE7" w14:textId="77777777" w:rsidR="00CB078B" w:rsidRDefault="00CB078B" w:rsidP="00CB078B">
      <w:r>
        <w:t xml:space="preserve">You are Agent 1, the Market Research Analyst for VDRPros.com. Research the highest-value market opportunities for an AI-driven virtual data room serving secure corporate transactions across every realistic industry </w:t>
      </w:r>
      <w:proofErr w:type="gramStart"/>
      <w:r>
        <w:t>vertical</w:t>
      </w:r>
      <w:proofErr w:type="gramEnd"/>
      <w:r>
        <w:t xml:space="preserve">, including mergers, acquisitions, divestitures, carve-outs, spin-offs, recapitalizations, restructuring, fundraising, commercial real estate diligence, board governance, and other sensitive document-collaboration workflows. Identify the buyer personas, industries, pain points, urgency </w:t>
      </w:r>
      <w:r>
        <w:lastRenderedPageBreak/>
        <w:t>triggers, budgets, buying committees, and decision criteria most likely to drive adoption. Rank the target verticals by revenue potential, urgency, competitive intensity, sales complexity, and fit with VDRPros strengths such as local-browser OCR, secure document exchange, cryptographic sealing, SHA-256 hashing, automated diligence reporting, and AI-assisted document review. Deliver a prioritized market-entry recommendation with the top 5 use cases, key buyer motivations, recommended positioning angles, and risks to validate before implementation.</w:t>
      </w:r>
    </w:p>
    <w:p w14:paraId="2520AA89" w14:textId="77777777" w:rsidR="00CB078B" w:rsidRDefault="00CB078B" w:rsidP="00CB078B">
      <w:pPr>
        <w:pStyle w:val="Heading3"/>
        <w:rPr>
          <w:rFonts w:cstheme="minorBidi"/>
        </w:rPr>
      </w:pPr>
      <w:r>
        <w:rPr>
          <w:rFonts w:cstheme="minorBidi"/>
        </w:rPr>
        <w:t>Agent 2 Prompt: SEO &amp; Content Strategist</w:t>
      </w:r>
    </w:p>
    <w:p w14:paraId="713B22B5" w14:textId="77777777" w:rsidR="00CB078B" w:rsidRDefault="00CB078B" w:rsidP="00CB078B">
      <w:r>
        <w:t>You are Agent 2, the SEO and Content Strategist for VDRPros.com. Build an SEO and content strategy that repositions VDRPros as an AI-driven virtual data room for secure corporate transactions, mergers, acquisitions, divestitures, fundraising, commercial real estate diligence, board governance, and cryptographically verifiable document collaboration across industries. Research keyword demand, search intent, competitor content, long-tail opportunities, and landing-page structures. Create keyword clusters for acquisition data rooms, divestiture data rooms, M&amp;A due diligence software, secure investor data rooms, startup fundraising data rooms, commercial real estate diligence rooms, board document portals, document integrity verification, AI due diligence, and local OCR data rooms. Deliver page briefs with recommended titles, meta descriptions, headings, FAQs, internal links, calls to action, and conversion-focused messaging for each priority use case.</w:t>
      </w:r>
    </w:p>
    <w:p w14:paraId="04AF6AE6" w14:textId="77777777" w:rsidR="00CB078B" w:rsidRDefault="00CB078B" w:rsidP="00CB078B">
      <w:pPr>
        <w:pStyle w:val="Heading3"/>
        <w:rPr>
          <w:rFonts w:cstheme="minorBidi"/>
        </w:rPr>
      </w:pPr>
      <w:r>
        <w:rPr>
          <w:rFonts w:cstheme="minorBidi"/>
        </w:rPr>
        <w:t>Agent 3 Prompt: Competitive Intelligence Analyst</w:t>
      </w:r>
    </w:p>
    <w:p w14:paraId="58A4B7D2" w14:textId="77777777" w:rsidR="00CB078B" w:rsidRDefault="00CB078B" w:rsidP="00CB078B">
      <w:r>
        <w:t>You are Agent 3, the Competitive Intelligence Analyst for VDRPros.com. Compare VDRPros against leading virtual data room, M&amp;A due diligence, board portal, secure file-sharing, eDiscovery, and AI document-analysis competitors. Evaluate competitors by target market, pricing model, security claims, AI capabilities, OCR quality, document analytics, permissions, audit trails, integrations, transaction workflows, onboarding speed, and messaging. Pay special attention to how competitors serve acquisitions, divestitures, mergers, carve-outs, spin-offs, restructuring, private equity, corporate development, investment banking, startup fundraising, commercial real estate, and governance workflows. Identify competitive gaps VDRPros can exploit, messaging claims to avoid, proof points needed, and differentiators worth emphasizing. Deliver a positioning matrix, competitor summaries, feature-gap analysis, and recommendations for how VDRPros should win against each category of competitor.</w:t>
      </w:r>
    </w:p>
    <w:p w14:paraId="422CCAF5" w14:textId="77777777" w:rsidR="00CB078B" w:rsidRDefault="00CB078B" w:rsidP="00CB078B">
      <w:pPr>
        <w:pStyle w:val="Heading3"/>
        <w:rPr>
          <w:rFonts w:cstheme="minorBidi"/>
        </w:rPr>
      </w:pPr>
      <w:r>
        <w:rPr>
          <w:rFonts w:cstheme="minorBidi"/>
        </w:rPr>
        <w:lastRenderedPageBreak/>
        <w:t>Agent 4 Prompt: Product Manager</w:t>
      </w:r>
    </w:p>
    <w:p w14:paraId="4B72E069" w14:textId="77777777" w:rsidR="00CB078B" w:rsidRDefault="00CB078B" w:rsidP="00CB078B">
      <w:r>
        <w:t>You are Agent 4, the Product Manager for VDRPros.com. Translate the market, SEO, and competitive research into a practical product roadmap for an AI-driven virtual data room supporting acquisitions, divestitures, mergers, fundraising, commercial real estate diligence, board governance, and secure document collaboration across industries. Define user stories, acceptance criteria, feature priorities, and product requirements for deal workspace setup, document ingestion, local-browser OCR, AI-generated diligence summaries, red-flag detection, role-based permissions, audit logs, cryptographic seals, SHA-256 verification, investor or buyer access workflows, reporting dashboards, and onboarding. Prioritize features by customer value, implementation difficulty, security sensitivity, and revenue impact. Deliver a phased roadmap with immediate website changes, MVP product improvements, next-release enhancements, and longer-term AI-agent capabilities.</w:t>
      </w:r>
    </w:p>
    <w:p w14:paraId="1117F9F5" w14:textId="77777777" w:rsidR="00CB078B" w:rsidRDefault="00CB078B" w:rsidP="00CB078B">
      <w:pPr>
        <w:pStyle w:val="Heading3"/>
        <w:rPr>
          <w:rFonts w:cstheme="minorBidi"/>
        </w:rPr>
      </w:pPr>
      <w:r>
        <w:rPr>
          <w:rFonts w:cstheme="minorBidi"/>
        </w:rPr>
        <w:t>Agent 5 Prompt: Full-Stack Implementation Planner</w:t>
      </w:r>
    </w:p>
    <w:p w14:paraId="5FDCEF5D" w14:textId="77777777" w:rsidR="00CB078B" w:rsidRDefault="00CB078B" w:rsidP="00CB078B">
      <w:r>
        <w:t>You are Agent 5, the Full-Stack Implementation Planner for VDRPros.com. Turn the repositioning strategy into an actionable implementation plan for the website and application. Recommend the site architecture, navigation, page templates, content blocks, onboarding flows, trial or demo calls to action, analytics events, pricing experiments, and application features needed to support secure corporate transactions across industries. Include implementation tasks for use-case landing pages, industry pages, security pages, comparison pages, structured FAQs, conversion tracking, lead capture, dashboard improvements, document-room setup flows, AI diligence summaries, OCR workflows, cryptographic seal explanations, and reporting screens. Deliver a prioritized build plan with frontend tasks, backend tasks, data or analytics requirements, QA checks, launch sequencing, and success metrics.</w:t>
      </w:r>
    </w:p>
    <w:p w14:paraId="39D7A7F0" w14:textId="77777777" w:rsidR="00CB078B" w:rsidRDefault="00CB078B" w:rsidP="00CB078B">
      <w:pPr>
        <w:pStyle w:val="Heading3"/>
        <w:rPr>
          <w:rFonts w:cstheme="minorBidi"/>
        </w:rPr>
      </w:pPr>
      <w:r>
        <w:rPr>
          <w:rFonts w:cstheme="minorBidi"/>
        </w:rPr>
        <w:t>Agent 6 Prompt: Security &amp; Compliance Reviewer</w:t>
      </w:r>
    </w:p>
    <w:p w14:paraId="21528445" w14:textId="77777777" w:rsidR="00CB078B" w:rsidRDefault="00CB078B" w:rsidP="00CB078B">
      <w:r>
        <w:t xml:space="preserve">You are Agent 6, the Security and Compliance Reviewer for VDRPros.com. Review all proposed messaging, product features, and implementation recommendations for accuracy, credibility, and risk in security-sensitive corporate transaction workflows. Focus on virtual data room security, local-browser processing, OCR privacy, SHA-256 hashing, cryptographic seals, document integrity verification, access controls, audit logs, permissions, data retention, encryption claims, compliance-sensitive customer expectations, and limitations that must be clearly disclosed. Evaluate the needs of investment banks, corporate development teams, private equity firms, legal counsel, auditors, lenders, startups, real estate teams, boards, and governance users across acquisitions, divestitures, mergers, fundraising, and other secure collaboration workflows. </w:t>
      </w:r>
      <w:r>
        <w:lastRenderedPageBreak/>
        <w:t>Deliver a security messaging checklist, approved terminology, claims to avoid, compliance questions to answer, and product controls that should be prioritized before marketing the platform broadly.</w:t>
      </w:r>
    </w:p>
    <w:p w14:paraId="75A91BFC" w14:textId="77777777" w:rsidR="00CB078B" w:rsidRDefault="00CB078B" w:rsidP="00CB078B">
      <w:pPr>
        <w:pStyle w:val="Heading2"/>
        <w:rPr>
          <w:rFonts w:cstheme="minorBidi"/>
        </w:rPr>
      </w:pPr>
      <w:r w:rsidRPr="00000F87">
        <w:rPr>
          <w:rFonts w:cstheme="minorBidi"/>
        </w:rPr>
        <w:t>11. Expected Swarm Deliverables</w:t>
      </w:r>
    </w:p>
    <w:p w14:paraId="73A39957" w14:textId="77777777" w:rsidR="00CB078B" w:rsidRDefault="00CB078B" w:rsidP="00CB078B">
      <w:r>
        <w:t xml:space="preserve">Each swarm deliverable must now include an IGL boundary check and runtime receipt. A deliverable is not complete unless the producing agent identifies its authority boundary, confirms whether the output stayed inside the onboarding-defined workspace scope, records assumptions, marks HARD or SOFT boundary issues, and states whether </w:t>
      </w:r>
      <w:proofErr w:type="gramStart"/>
      <w:r>
        <w:t>the final result</w:t>
      </w:r>
      <w:proofErr w:type="gramEnd"/>
      <w:r>
        <w:t xml:space="preserve"> is allowed, attenuated, or halted.</w:t>
      </w:r>
    </w:p>
    <w:p w14:paraId="663E961D" w14:textId="77777777" w:rsidR="00CB078B" w:rsidRDefault="00CB078B" w:rsidP="00CB078B">
      <w:pPr>
        <w:pStyle w:val="ListParagraph"/>
        <w:numPr>
          <w:ilvl w:val="0"/>
          <w:numId w:val="15"/>
        </w:numPr>
      </w:pPr>
      <w:r w:rsidRPr="00C7342B">
        <w:rPr>
          <w:b/>
          <w:bCs/>
        </w:rPr>
        <w:t xml:space="preserve">Ranked target markets and recommended launch </w:t>
      </w:r>
      <w:proofErr w:type="gramStart"/>
      <w:r w:rsidRPr="00C7342B">
        <w:rPr>
          <w:b/>
          <w:bCs/>
        </w:rPr>
        <w:t>sequence</w:t>
      </w:r>
      <w:r>
        <w:t xml:space="preserve"> —</w:t>
      </w:r>
      <w:proofErr w:type="gramEnd"/>
      <w:r>
        <w:t xml:space="preserve"> must include the market-research agent receipt, evidence confidence, selected industry/use-case boundary, assumptions, and any SOFT uncertainty flags.</w:t>
      </w:r>
    </w:p>
    <w:p w14:paraId="0A11CBF4" w14:textId="77777777" w:rsidR="00CB078B" w:rsidRDefault="00CB078B" w:rsidP="00CB078B">
      <w:pPr>
        <w:pStyle w:val="ListParagraph"/>
        <w:numPr>
          <w:ilvl w:val="0"/>
          <w:numId w:val="15"/>
        </w:numPr>
      </w:pPr>
      <w:r>
        <w:rPr>
          <w:b/>
          <w:bCs/>
        </w:rPr>
        <w:t>Buyer-persona briefs for each use case</w:t>
      </w:r>
      <w:r>
        <w:t xml:space="preserve"> — must identify the onboarding vectors used, the allowed persona scope, excluded personas, confidence level, and receipt status.</w:t>
      </w:r>
    </w:p>
    <w:p w14:paraId="67C9F4F4" w14:textId="77777777" w:rsidR="00CB078B" w:rsidRDefault="00CB078B" w:rsidP="00CB078B">
      <w:pPr>
        <w:pStyle w:val="ListParagraph"/>
        <w:numPr>
          <w:ilvl w:val="0"/>
          <w:numId w:val="15"/>
        </w:numPr>
      </w:pPr>
      <w:r>
        <w:rPr>
          <w:b/>
          <w:bCs/>
        </w:rPr>
        <w:t>SEO keyword clusters and landing-page outlines</w:t>
      </w:r>
      <w:r>
        <w:t xml:space="preserve"> — must include source/evidence notes, selected market boundary, claim-risk classification, and whether the output is approved for draft, review, or publication.</w:t>
      </w:r>
    </w:p>
    <w:p w14:paraId="49C72003" w14:textId="77777777" w:rsidR="00CB078B" w:rsidRDefault="00CB078B" w:rsidP="00CB078B">
      <w:pPr>
        <w:pStyle w:val="ListParagraph"/>
        <w:numPr>
          <w:ilvl w:val="0"/>
          <w:numId w:val="15"/>
        </w:numPr>
      </w:pPr>
      <w:r>
        <w:rPr>
          <w:b/>
          <w:bCs/>
        </w:rPr>
        <w:t>Rewritten homepage messaging and hero copy</w:t>
      </w:r>
      <w:r>
        <w:t xml:space="preserve"> — must include a marketing boundary check, unsupported-claim scan, pricing/security claim review, and an attenuated receipt if any claims require validation.</w:t>
      </w:r>
    </w:p>
    <w:p w14:paraId="7723F817" w14:textId="77777777" w:rsidR="00CB078B" w:rsidRDefault="00CB078B" w:rsidP="00CB078B">
      <w:pPr>
        <w:pStyle w:val="ListParagraph"/>
        <w:numPr>
          <w:ilvl w:val="0"/>
          <w:numId w:val="15"/>
        </w:numPr>
      </w:pPr>
      <w:r>
        <w:rPr>
          <w:b/>
          <w:bCs/>
        </w:rPr>
        <w:t>Competitive positioning matrix</w:t>
      </w:r>
      <w:r>
        <w:t xml:space="preserve"> — must include competitor-claim evidence, source confidence, hard-claim boundaries, and a receipt distinguishing verified facts from positioning assumptions.</w:t>
      </w:r>
    </w:p>
    <w:p w14:paraId="39F184DD" w14:textId="77777777" w:rsidR="00CB078B" w:rsidRDefault="00CB078B" w:rsidP="00CB078B">
      <w:pPr>
        <w:pStyle w:val="ListParagraph"/>
        <w:numPr>
          <w:ilvl w:val="0"/>
          <w:numId w:val="15"/>
        </w:numPr>
      </w:pPr>
      <w:r>
        <w:rPr>
          <w:b/>
          <w:bCs/>
        </w:rPr>
        <w:t>Product feature backlog and roadmap</w:t>
      </w:r>
      <w:r>
        <w:t xml:space="preserve"> — must include product-scope boundary, technical feasibility assumptions, security-sensitive items, and runtime outcome for each proposed feature: allow, review, attenuate, or halt.</w:t>
      </w:r>
    </w:p>
    <w:p w14:paraId="0182EB87" w14:textId="77777777" w:rsidR="00CB078B" w:rsidRDefault="00CB078B" w:rsidP="00CB078B">
      <w:pPr>
        <w:pStyle w:val="ListParagraph"/>
        <w:numPr>
          <w:ilvl w:val="0"/>
          <w:numId w:val="15"/>
        </w:numPr>
      </w:pPr>
      <w:r>
        <w:rPr>
          <w:b/>
          <w:bCs/>
        </w:rPr>
        <w:t>Implementation checklist for vdrpros.com</w:t>
      </w:r>
      <w:r>
        <w:t xml:space="preserve"> — must include frontend, backend, analytics, security, and QA tasks with responsible agent, boundary status, dependency notes, and receipt requirements.</w:t>
      </w:r>
    </w:p>
    <w:p w14:paraId="16925A56" w14:textId="77777777" w:rsidR="00CB078B" w:rsidRDefault="00CB078B" w:rsidP="00CB078B">
      <w:pPr>
        <w:pStyle w:val="ListParagraph"/>
        <w:numPr>
          <w:ilvl w:val="0"/>
          <w:numId w:val="15"/>
        </w:numPr>
      </w:pPr>
      <w:r>
        <w:rPr>
          <w:b/>
          <w:bCs/>
        </w:rPr>
        <w:t>Security and compliance messaging review</w:t>
      </w:r>
      <w:r>
        <w:t xml:space="preserve"> — must classify each claim as approved, needs proof, attenuated, or halted; unresolved HARD claims produce no signed receipt.</w:t>
      </w:r>
    </w:p>
    <w:p w14:paraId="07A042E1" w14:textId="77777777" w:rsidR="00CB078B" w:rsidRDefault="00CB078B" w:rsidP="00CB078B">
      <w:pPr>
        <w:pStyle w:val="ListParagraph"/>
        <w:numPr>
          <w:ilvl w:val="0"/>
          <w:numId w:val="15"/>
        </w:numPr>
      </w:pPr>
      <w:r>
        <w:rPr>
          <w:b/>
          <w:bCs/>
        </w:rPr>
        <w:t>Suggested pricing and trial strategy</w:t>
      </w:r>
      <w:r>
        <w:t xml:space="preserve"> — must include pricing-boundary review, assumptions, proof required, competitive evidence confidence, and clear separation between strategic recommendation and publishable claim.</w:t>
      </w:r>
    </w:p>
    <w:p w14:paraId="2A32621B" w14:textId="77777777" w:rsidR="00CB078B" w:rsidRDefault="00CB078B" w:rsidP="00CB078B">
      <w:pPr>
        <w:pStyle w:val="ListParagraph"/>
        <w:numPr>
          <w:ilvl w:val="0"/>
          <w:numId w:val="15"/>
        </w:numPr>
      </w:pPr>
      <w:r>
        <w:rPr>
          <w:b/>
          <w:bCs/>
        </w:rPr>
        <w:lastRenderedPageBreak/>
        <w:t>Recommended analytics events to track adoption and conversions</w:t>
      </w:r>
      <w:r>
        <w:t xml:space="preserve"> — must include privacy/scope review, allowed event categories, excluded tracking behaviors, and a receipt confirming alignment with the workspace governance model.</w:t>
      </w:r>
    </w:p>
    <w:p w14:paraId="69EA7604" w14:textId="77777777" w:rsidR="00CB078B" w:rsidRDefault="00CB078B" w:rsidP="00CB078B">
      <w:pPr>
        <w:pStyle w:val="ListParagraph"/>
        <w:numPr>
          <w:ilvl w:val="0"/>
          <w:numId w:val="15"/>
        </w:numPr>
      </w:pPr>
      <w:r>
        <w:rPr>
          <w:b/>
          <w:bCs/>
        </w:rPr>
        <w:t>Agent receipt package</w:t>
      </w:r>
      <w:r>
        <w:t xml:space="preserve"> — every agent must return a final receipt containing agent ID, sole purpose, focus domain, allowed inputs, evidence used, confidence score, assumptions, boundary check, runtime gate result, output summary, and whether the deliverable is signed, attenuated, or blocked.</w:t>
      </w:r>
    </w:p>
    <w:p w14:paraId="4C92D961" w14:textId="2B95DDB7" w:rsidR="00CB078B" w:rsidRDefault="00CB078B" w:rsidP="00CB078B">
      <w:r>
        <w:rPr>
          <w:b/>
          <w:bCs/>
        </w:rPr>
        <w:t>Boundary exception log</w:t>
      </w:r>
      <w:r>
        <w:t xml:space="preserve"> — any exceeded boundary must be logged with the triggering request, affected dimension, HARD or SOFT classification, action taken, and required human review or authorization.</w:t>
      </w:r>
    </w:p>
    <w:p w14:paraId="6C1EA6E8" w14:textId="77777777" w:rsidR="00CB078B" w:rsidRPr="0029527D" w:rsidRDefault="00CB078B" w:rsidP="00CB078B">
      <w:pPr>
        <w:pStyle w:val="Title"/>
        <w:rPr>
          <w:sz w:val="36"/>
          <w:szCs w:val="36"/>
        </w:rPr>
      </w:pPr>
      <w:r w:rsidRPr="0029527D">
        <w:rPr>
          <w:sz w:val="36"/>
          <w:szCs w:val="36"/>
        </w:rPr>
        <w:t>Governed Recursive Learning Through the Universal Decoding Matrix</w:t>
      </w:r>
    </w:p>
    <w:p w14:paraId="6EF603F2" w14:textId="77777777" w:rsidR="00CB078B" w:rsidRDefault="00CB078B" w:rsidP="00CB078B">
      <w:pPr>
        <w:pStyle w:val="Subtitle"/>
      </w:pPr>
      <w:r w:rsidRPr="00C26808">
        <w:t>AI instructional guidance for computing identity boundaries, defining governed learning loops, and constraining autonomous agent behavior.</w:t>
      </w:r>
    </w:p>
    <w:p w14:paraId="6F0249E1" w14:textId="77777777" w:rsidR="00CB078B" w:rsidRDefault="00CB078B" w:rsidP="00CB078B">
      <w:pPr>
        <w:pStyle w:val="Heading1"/>
        <w:rPr>
          <w:rFonts w:asciiTheme="minorHAnsi" w:hAnsiTheme="minorHAnsi" w:cstheme="minorBidi"/>
        </w:rPr>
      </w:pPr>
      <w:r w:rsidRPr="005B58BB">
        <w:rPr>
          <w:rFonts w:asciiTheme="minorHAnsi" w:hAnsiTheme="minorHAnsi" w:cstheme="minorBidi"/>
        </w:rPr>
        <w:t>Purpose</w:t>
      </w:r>
    </w:p>
    <w:p w14:paraId="45D93D64" w14:textId="77777777" w:rsidR="00CB078B" w:rsidRDefault="00CB078B" w:rsidP="00CB078B">
      <w:r w:rsidRPr="00DD6C3B">
        <w:t>This document explains how an Identity Graph boundary or footprint can be numerically computed inside a Universal Decoding Matrix and translated into governed AI operating instructions. The goal is to define how an AI agent may learn, reason, train, and execute recursively while remaining constrained by identity, role, permission, evidence, receipts, and governance controls.</w:t>
      </w:r>
    </w:p>
    <w:p w14:paraId="3A14FA86" w14:textId="77777777" w:rsidR="00CB078B" w:rsidRDefault="00CB078B" w:rsidP="00CB078B">
      <w:pPr>
        <w:pStyle w:val="Heading1"/>
        <w:rPr>
          <w:rFonts w:asciiTheme="minorHAnsi" w:hAnsiTheme="minorHAnsi" w:cstheme="minorBidi"/>
        </w:rPr>
      </w:pPr>
      <w:r w:rsidRPr="00E62508">
        <w:rPr>
          <w:rFonts w:asciiTheme="minorHAnsi" w:hAnsiTheme="minorHAnsi" w:cstheme="minorBidi"/>
        </w:rPr>
        <w:t>Core Concept</w:t>
      </w:r>
    </w:p>
    <w:p w14:paraId="51DBAE4F" w14:textId="77777777" w:rsidR="00CB078B" w:rsidRDefault="00CB078B" w:rsidP="00CB078B">
      <w:r w:rsidRPr="00785595">
        <w:t>An Identity Graph boundary or footprint represents the approved operating space for an AI agent. When computed through the Universal Decoding Matrix, that boundary becomes a numeric vector equation that defines what the agent is allowed to learn from, act on, repeat, improve, or stop.</w:t>
      </w:r>
    </w:p>
    <w:p w14:paraId="73BAFF69" w14:textId="77777777" w:rsidR="00CB078B" w:rsidRDefault="00CB078B" w:rsidP="00CB078B">
      <w:r w:rsidRPr="00AD6E94">
        <w:t>The resulting vectorized boundary equation acts as the AI agent’s governed instruction layer. It enables autonomous subject matter expert behavior only within a defined and auditable scope.</w:t>
      </w:r>
    </w:p>
    <w:p w14:paraId="67E562DE" w14:textId="77777777" w:rsidR="00CB078B" w:rsidRDefault="00CB078B" w:rsidP="00CB078B">
      <w:pPr>
        <w:pStyle w:val="Heading1"/>
        <w:rPr>
          <w:rFonts w:asciiTheme="minorHAnsi" w:hAnsiTheme="minorHAnsi" w:cstheme="minorBidi"/>
        </w:rPr>
      </w:pPr>
      <w:r w:rsidRPr="00910588">
        <w:rPr>
          <w:rFonts w:asciiTheme="minorHAnsi" w:hAnsiTheme="minorHAnsi" w:cstheme="minorBidi"/>
        </w:rPr>
        <w:lastRenderedPageBreak/>
        <w:t>Universal Decoding Matrix Summary</w:t>
      </w:r>
    </w:p>
    <w:p w14:paraId="660EC513" w14:textId="77777777" w:rsidR="00CB078B" w:rsidRDefault="00CB078B" w:rsidP="00CB078B">
      <w:r w:rsidRPr="00965FD2">
        <w:rPr>
          <w:rFonts w:ascii="Aptos" w:hAnsi="Aptos"/>
          <w:sz w:val="21"/>
          <w:szCs w:val="21"/>
        </w:rPr>
        <w:t xml:space="preserve">The Universal Decoding Matrix </w:t>
      </w:r>
      <w:r w:rsidRPr="00C42772">
        <w:t xml:space="preserve">is the computational layer that </w:t>
      </w:r>
      <w:r w:rsidRPr="00965FD2">
        <w:rPr>
          <w:rFonts w:ascii="Aptos" w:hAnsi="Aptos"/>
          <w:sz w:val="21"/>
          <w:szCs w:val="21"/>
        </w:rPr>
        <w:t xml:space="preserve">converts Identity Graph </w:t>
      </w:r>
      <w:r w:rsidRPr="00C42772">
        <w:t>boundaries or footprints</w:t>
      </w:r>
      <w:r w:rsidRPr="00965FD2">
        <w:rPr>
          <w:rFonts w:ascii="Aptos" w:hAnsi="Aptos"/>
          <w:sz w:val="21"/>
          <w:szCs w:val="21"/>
        </w:rPr>
        <w:t xml:space="preserve"> into </w:t>
      </w:r>
      <w:r w:rsidRPr="00C42772">
        <w:t>governed numeric outputs. These outputs can be interpreted by an AI system as vectorized operating instructions that define authorized learning, reasoning, training, and execution behavior.</w:t>
      </w:r>
    </w:p>
    <w:p w14:paraId="5FAB4F5B" w14:textId="77777777" w:rsidR="00CB078B" w:rsidRDefault="00CB078B" w:rsidP="00CB078B">
      <w:pPr>
        <w:pStyle w:val="Heading1"/>
        <w:rPr>
          <w:rFonts w:asciiTheme="minorHAnsi" w:hAnsiTheme="minorHAnsi" w:cstheme="minorBidi"/>
        </w:rPr>
      </w:pPr>
      <w:r w:rsidRPr="005D6488">
        <w:rPr>
          <w:rFonts w:asciiTheme="minorHAnsi" w:hAnsiTheme="minorHAnsi" w:cstheme="minorBidi"/>
        </w:rPr>
        <w:t>Recursive Learning Within Boundaries</w:t>
      </w:r>
    </w:p>
    <w:p w14:paraId="4A102DA6" w14:textId="77777777" w:rsidR="00CB078B" w:rsidRDefault="00CB078B" w:rsidP="00CB078B">
      <w:r w:rsidRPr="00B76AD7">
        <w:t>Recursive learning means an AI agent improves by reusing prior outputs, evidence, feedback, and receipts in future decision cycles while staying inside its approved governance boundary.</w:t>
      </w:r>
    </w:p>
    <w:p w14:paraId="69B4201B" w14:textId="77777777" w:rsidR="00CB078B" w:rsidRDefault="00CB078B" w:rsidP="00CB078B">
      <w:r w:rsidRPr="00571C02">
        <w:t>Recursive learning is permitted only when the agent’s prior outputs are traceable, authorized, and aligned with the same boundary conditions that govern the current task. If the task exceeds the computed boundary, the agent must stop, escalate, or request human review.</w:t>
      </w:r>
    </w:p>
    <w:p w14:paraId="3E408DBE" w14:textId="77777777" w:rsidR="00CB078B" w:rsidRDefault="00CB078B" w:rsidP="00CB078B">
      <w:pPr>
        <w:pStyle w:val="Heading1"/>
        <w:rPr>
          <w:rFonts w:asciiTheme="minorHAnsi" w:hAnsiTheme="minorHAnsi" w:cstheme="minorBidi"/>
        </w:rPr>
      </w:pPr>
      <w:r w:rsidRPr="00C33889">
        <w:rPr>
          <w:rFonts w:asciiTheme="minorHAnsi" w:hAnsiTheme="minorHAnsi" w:cstheme="minorBidi"/>
        </w:rPr>
        <w:t>Governance Controls</w:t>
      </w:r>
    </w:p>
    <w:p w14:paraId="4D8A7502" w14:textId="77777777" w:rsidR="00CB078B" w:rsidRDefault="00CB078B" w:rsidP="00CB078B">
      <w:r w:rsidRPr="00407214">
        <w:t>Governance limits AI learning by defining what the agent may learn from, what it may ignore, what it may reuse, and when it must stop, escalate, or require human review.</w:t>
      </w:r>
    </w:p>
    <w:p w14:paraId="53B7B667" w14:textId="77777777" w:rsidR="00CB078B" w:rsidRDefault="00CB078B" w:rsidP="00CB078B">
      <w:pPr>
        <w:pStyle w:val="ListParagraph"/>
        <w:numPr>
          <w:ilvl w:val="0"/>
          <w:numId w:val="23"/>
        </w:numPr>
      </w:pPr>
      <w:r w:rsidRPr="00407214">
        <w:rPr>
          <w:b/>
          <w:bCs/>
        </w:rPr>
        <w:t>Identity control:</w:t>
      </w:r>
      <w:r>
        <w:t xml:space="preserve"> The agent must operate within the approved identity context.</w:t>
      </w:r>
    </w:p>
    <w:p w14:paraId="49DD5DBE" w14:textId="77777777" w:rsidR="00CB078B" w:rsidRDefault="00CB078B" w:rsidP="00CB078B">
      <w:pPr>
        <w:pStyle w:val="ListParagraph"/>
        <w:numPr>
          <w:ilvl w:val="0"/>
          <w:numId w:val="23"/>
        </w:numPr>
      </w:pPr>
      <w:r w:rsidRPr="00407214">
        <w:rPr>
          <w:b/>
          <w:bCs/>
        </w:rPr>
        <w:t>Role control:</w:t>
      </w:r>
      <w:r>
        <w:t xml:space="preserve"> The agent may perform only the functions assigned to its role.</w:t>
      </w:r>
    </w:p>
    <w:p w14:paraId="4C621113" w14:textId="77777777" w:rsidR="00CB078B" w:rsidRDefault="00CB078B" w:rsidP="00CB078B">
      <w:pPr>
        <w:pStyle w:val="ListParagraph"/>
        <w:numPr>
          <w:ilvl w:val="0"/>
          <w:numId w:val="23"/>
        </w:numPr>
      </w:pPr>
      <w:r w:rsidRPr="00407214">
        <w:rPr>
          <w:b/>
          <w:bCs/>
        </w:rPr>
        <w:t>Permission control:</w:t>
      </w:r>
      <w:r>
        <w:t xml:space="preserve"> The agent may access and reuse only authorized information.</w:t>
      </w:r>
    </w:p>
    <w:p w14:paraId="6935D194" w14:textId="77777777" w:rsidR="00CB078B" w:rsidRDefault="00CB078B" w:rsidP="00CB078B">
      <w:pPr>
        <w:pStyle w:val="ListParagraph"/>
        <w:numPr>
          <w:ilvl w:val="0"/>
          <w:numId w:val="23"/>
        </w:numPr>
      </w:pPr>
      <w:r w:rsidRPr="00407214">
        <w:rPr>
          <w:b/>
          <w:bCs/>
        </w:rPr>
        <w:t>Evidence control:</w:t>
      </w:r>
      <w:r>
        <w:t xml:space="preserve"> The agent must ground outputs in approved evidence sources.</w:t>
      </w:r>
    </w:p>
    <w:p w14:paraId="50B60623" w14:textId="77777777" w:rsidR="00CB078B" w:rsidRDefault="00CB078B" w:rsidP="00CB078B">
      <w:pPr>
        <w:pStyle w:val="ListParagraph"/>
        <w:numPr>
          <w:ilvl w:val="0"/>
          <w:numId w:val="23"/>
        </w:numPr>
      </w:pPr>
      <w:r w:rsidRPr="00407214">
        <w:rPr>
          <w:b/>
          <w:bCs/>
        </w:rPr>
        <w:t>Receipt control:</w:t>
      </w:r>
      <w:r>
        <w:t xml:space="preserve"> The agent must rely on traceable, auditable prior outputs.</w:t>
      </w:r>
    </w:p>
    <w:p w14:paraId="721651B7" w14:textId="77777777" w:rsidR="00CB078B" w:rsidRDefault="00CB078B" w:rsidP="00CB078B">
      <w:pPr>
        <w:pStyle w:val="ListParagraph"/>
        <w:numPr>
          <w:ilvl w:val="0"/>
          <w:numId w:val="23"/>
        </w:numPr>
      </w:pPr>
      <w:r w:rsidRPr="00407214">
        <w:rPr>
          <w:b/>
          <w:bCs/>
        </w:rPr>
        <w:t>Escalation control:</w:t>
      </w:r>
      <w:r>
        <w:t xml:space="preserve"> The agent must stop or request review when a boundary is exceeded.</w:t>
      </w:r>
    </w:p>
    <w:p w14:paraId="5D49D3FD" w14:textId="77777777" w:rsidR="00CB078B" w:rsidRDefault="00CB078B" w:rsidP="00CB078B">
      <w:pPr>
        <w:pStyle w:val="Heading1"/>
        <w:rPr>
          <w:rFonts w:asciiTheme="minorHAnsi" w:hAnsiTheme="minorHAnsi" w:cstheme="minorBidi"/>
        </w:rPr>
      </w:pPr>
      <w:r w:rsidRPr="00D71661">
        <w:rPr>
          <w:rFonts w:asciiTheme="minorHAnsi" w:hAnsiTheme="minorHAnsi" w:cstheme="minorBidi"/>
        </w:rPr>
        <w:t>Examples of Recursive Learning Boundaries</w:t>
      </w:r>
    </w:p>
    <w:tbl>
      <w:tblPr>
        <w:tblStyle w:val="GridTable4-Accent1"/>
        <w:tblW w:w="5000" w:type="pct"/>
        <w:tblLook w:val="04A0" w:firstRow="1" w:lastRow="0" w:firstColumn="1" w:lastColumn="0" w:noHBand="0" w:noVBand="1"/>
      </w:tblPr>
      <w:tblGrid>
        <w:gridCol w:w="2049"/>
        <w:gridCol w:w="7301"/>
      </w:tblGrid>
      <w:tr w:rsidR="00CB078B" w14:paraId="6D8ACEA5" w14:textId="77777777" w:rsidTr="0044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66A26" w14:textId="77777777" w:rsidR="00CB078B" w:rsidRDefault="00CB078B" w:rsidP="00445254">
            <w:pPr>
              <w:spacing w:after="160"/>
            </w:pPr>
            <w:r>
              <w:t>Boundary Type</w:t>
            </w:r>
          </w:p>
        </w:tc>
        <w:tc>
          <w:tcPr>
            <w:tcW w:w="0" w:type="auto"/>
            <w:hideMark/>
          </w:tcPr>
          <w:p w14:paraId="32331A75" w14:textId="77777777" w:rsidR="00CB078B" w:rsidRDefault="00CB078B" w:rsidP="00445254">
            <w:pPr>
              <w:spacing w:after="160"/>
              <w:cnfStyle w:val="100000000000" w:firstRow="1" w:lastRow="0" w:firstColumn="0" w:lastColumn="0" w:oddVBand="0" w:evenVBand="0" w:oddHBand="0" w:evenHBand="0" w:firstRowFirstColumn="0" w:firstRowLastColumn="0" w:lastRowFirstColumn="0" w:lastRowLastColumn="0"/>
            </w:pPr>
            <w:r>
              <w:t>Instructional Example</w:t>
            </w:r>
          </w:p>
        </w:tc>
      </w:tr>
      <w:tr w:rsidR="00CB078B" w14:paraId="19AE11A7"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8F79" w14:textId="77777777" w:rsidR="00CB078B" w:rsidRDefault="00CB078B" w:rsidP="00445254">
            <w:pPr>
              <w:spacing w:after="160"/>
            </w:pPr>
            <w:r>
              <w:t>Evidence boundary</w:t>
            </w:r>
          </w:p>
        </w:tc>
        <w:tc>
          <w:tcPr>
            <w:tcW w:w="0" w:type="auto"/>
            <w:hideMark/>
          </w:tcPr>
          <w:p w14:paraId="3F5ACE6D"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agent may learn from approved workspace documents but not from external or unauthorized files.</w:t>
            </w:r>
          </w:p>
        </w:tc>
      </w:tr>
      <w:tr w:rsidR="00CB078B" w14:paraId="07CF311D"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45E801BE" w14:textId="77777777" w:rsidR="00CB078B" w:rsidRDefault="00CB078B" w:rsidP="00445254">
            <w:pPr>
              <w:spacing w:after="160"/>
            </w:pPr>
            <w:r>
              <w:t>Role boundary</w:t>
            </w:r>
          </w:p>
        </w:tc>
        <w:tc>
          <w:tcPr>
            <w:tcW w:w="0" w:type="auto"/>
            <w:hideMark/>
          </w:tcPr>
          <w:p w14:paraId="7097BA33"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A diligence reviewer agent may improve risk summaries but may not approve final deal conclusions.</w:t>
            </w:r>
          </w:p>
        </w:tc>
      </w:tr>
      <w:tr w:rsidR="00CB078B" w14:paraId="48C0E60B"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BDF4E" w14:textId="77777777" w:rsidR="00CB078B" w:rsidRDefault="00CB078B" w:rsidP="00445254">
            <w:pPr>
              <w:spacing w:after="160"/>
            </w:pPr>
            <w:r>
              <w:lastRenderedPageBreak/>
              <w:t>Jurisdiction boundary</w:t>
            </w:r>
          </w:p>
        </w:tc>
        <w:tc>
          <w:tcPr>
            <w:tcW w:w="0" w:type="auto"/>
            <w:hideMark/>
          </w:tcPr>
          <w:p w14:paraId="20D28EE7"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A compliance agent may refine outputs for an approved jurisdiction but must flag unapproved jurisdictions.</w:t>
            </w:r>
          </w:p>
        </w:tc>
      </w:tr>
      <w:tr w:rsidR="00CB078B" w14:paraId="2F9A04ED" w14:textId="77777777" w:rsidTr="00445254">
        <w:tc>
          <w:tcPr>
            <w:cnfStyle w:val="001000000000" w:firstRow="0" w:lastRow="0" w:firstColumn="1" w:lastColumn="0" w:oddVBand="0" w:evenVBand="0" w:oddHBand="0" w:evenHBand="0" w:firstRowFirstColumn="0" w:firstRowLastColumn="0" w:lastRowFirstColumn="0" w:lastRowLastColumn="0"/>
            <w:tcW w:w="0" w:type="auto"/>
            <w:hideMark/>
          </w:tcPr>
          <w:p w14:paraId="2B4621B1" w14:textId="77777777" w:rsidR="00CB078B" w:rsidRDefault="00CB078B" w:rsidP="00445254">
            <w:pPr>
              <w:spacing w:after="160"/>
            </w:pPr>
            <w:r>
              <w:t>Permission boundary</w:t>
            </w:r>
          </w:p>
        </w:tc>
        <w:tc>
          <w:tcPr>
            <w:tcW w:w="0" w:type="auto"/>
            <w:hideMark/>
          </w:tcPr>
          <w:p w14:paraId="3C875A25" w14:textId="77777777" w:rsidR="00CB078B" w:rsidRDefault="00CB078B" w:rsidP="00445254">
            <w:pPr>
              <w:spacing w:after="160"/>
              <w:cnfStyle w:val="000000000000" w:firstRow="0" w:lastRow="0" w:firstColumn="0" w:lastColumn="0" w:oddVBand="0" w:evenVBand="0" w:oddHBand="0" w:evenHBand="0" w:firstRowFirstColumn="0" w:firstRowLastColumn="0" w:lastRowFirstColumn="0" w:lastRowLastColumn="0"/>
            </w:pPr>
            <w:r>
              <w:t>The agent may reuse feedback only from authorized users with access to the same matter or workspace.</w:t>
            </w:r>
          </w:p>
        </w:tc>
      </w:tr>
      <w:tr w:rsidR="00CB078B" w14:paraId="0EAF2E55" w14:textId="77777777" w:rsidTr="0044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BB683" w14:textId="77777777" w:rsidR="00CB078B" w:rsidRDefault="00CB078B" w:rsidP="00445254">
            <w:pPr>
              <w:spacing w:after="160"/>
            </w:pPr>
            <w:r>
              <w:t>Receipt boundary</w:t>
            </w:r>
          </w:p>
        </w:tc>
        <w:tc>
          <w:tcPr>
            <w:tcW w:w="0" w:type="auto"/>
            <w:hideMark/>
          </w:tcPr>
          <w:p w14:paraId="3655A532" w14:textId="77777777" w:rsidR="00CB078B" w:rsidRDefault="00CB078B" w:rsidP="00445254">
            <w:pPr>
              <w:spacing w:after="160"/>
              <w:cnfStyle w:val="000000100000" w:firstRow="0" w:lastRow="0" w:firstColumn="0" w:lastColumn="0" w:oddVBand="0" w:evenVBand="0" w:oddHBand="1" w:evenHBand="0" w:firstRowFirstColumn="0" w:firstRowLastColumn="0" w:lastRowFirstColumn="0" w:lastRowLastColumn="0"/>
            </w:pPr>
            <w:r>
              <w:t>The agent may learn from prior outputs only when those outputs include traceable receipts and valid completion status.</w:t>
            </w:r>
          </w:p>
        </w:tc>
      </w:tr>
    </w:tbl>
    <w:p w14:paraId="71912B13" w14:textId="77777777" w:rsidR="00CB078B" w:rsidRDefault="00CB078B" w:rsidP="00CB078B"/>
    <w:p w14:paraId="692E5A95" w14:textId="77777777" w:rsidR="00CB078B" w:rsidRDefault="00CB078B" w:rsidP="00CB078B">
      <w:pPr>
        <w:pStyle w:val="Heading1"/>
        <w:rPr>
          <w:rFonts w:cstheme="minorBidi"/>
        </w:rPr>
      </w:pPr>
      <w:r w:rsidRPr="0033459E">
        <w:rPr>
          <w:rFonts w:cstheme="minorBidi"/>
        </w:rPr>
        <w:t>Benefits for AI Agents</w:t>
      </w:r>
    </w:p>
    <w:p w14:paraId="3255E883" w14:textId="77777777" w:rsidR="00CB078B" w:rsidRDefault="00CB078B" w:rsidP="00CB078B">
      <w:r w:rsidRPr="0048523A">
        <w:t>Recursive learning benefits AI agents by helping them improve consistency, reuse verified evidence, reduce repeated work, refine future decisions, and become more accurate over time while staying inside approved governance boundaries.</w:t>
      </w:r>
    </w:p>
    <w:p w14:paraId="24C5B006" w14:textId="77777777" w:rsidR="00CB078B" w:rsidRDefault="00CB078B" w:rsidP="00CB078B">
      <w:pPr>
        <w:pStyle w:val="Heading1"/>
        <w:rPr>
          <w:rFonts w:cstheme="minorBidi"/>
        </w:rPr>
      </w:pPr>
      <w:r w:rsidRPr="00DD65C2">
        <w:rPr>
          <w:rFonts w:cstheme="minorBidi"/>
        </w:rPr>
        <w:t>Role of Receipts</w:t>
      </w:r>
    </w:p>
    <w:p w14:paraId="4EFEA621" w14:textId="77777777" w:rsidR="00CB078B" w:rsidRDefault="00CB078B" w:rsidP="00CB078B">
      <w:r w:rsidRPr="00205CDA">
        <w:t>Receipts support recursive learning by creating a traceable record of what the agent did, which evidence it used, what assumptions it made, what boundary applied, and whether the output was approved. Future learning cycles should rely only on verified, governed, and auditable prior results.</w:t>
      </w:r>
    </w:p>
    <w:p w14:paraId="1A381290" w14:textId="77777777" w:rsidR="00CB078B" w:rsidRDefault="00CB078B" w:rsidP="00CB078B">
      <w:pPr>
        <w:pStyle w:val="Heading1"/>
        <w:rPr>
          <w:rFonts w:cstheme="minorBidi"/>
        </w:rPr>
      </w:pPr>
      <w:r w:rsidRPr="0029527D">
        <w:rPr>
          <w:rFonts w:cstheme="minorBidi"/>
        </w:rPr>
        <w:t>Concise AI Instruction</w:t>
      </w:r>
    </w:p>
    <w:p w14:paraId="742CD83B" w14:textId="77777777" w:rsidR="00CB078B" w:rsidRDefault="00CB078B" w:rsidP="00CB078B">
      <w:r w:rsidRPr="00BB2030">
        <w:rPr>
          <w:b/>
          <w:bCs/>
        </w:rPr>
        <w:t>Instruction:</w:t>
      </w:r>
      <w:r w:rsidRPr="00BB2030">
        <w:t xml:space="preserve"> Compute each Identity Graph boundary or footprint as a governed numeric vector inside the Universal Decoding Matrix. Use the resulting vectorized boundary equation to define the AI agent’s authorized learning, reasoning, training, and execution loop. The agent may operate recursively only within that computed boundary and must remain constrained by governance, evidence, role, permission, receipt, and escalation requirements.</w:t>
      </w:r>
    </w:p>
    <w:p w14:paraId="74B4CEC1" w14:textId="77777777" w:rsidR="00CB078B" w:rsidRDefault="00CB078B" w:rsidP="00CB078B"/>
    <w:sectPr w:rsidR="00CB0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741"/>
    <w:multiLevelType w:val="multilevel"/>
    <w:tmpl w:val="ECD2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D00DC"/>
    <w:multiLevelType w:val="multilevel"/>
    <w:tmpl w:val="6BB2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B2FD5"/>
    <w:multiLevelType w:val="multilevel"/>
    <w:tmpl w:val="5C9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71C0E"/>
    <w:multiLevelType w:val="multilevel"/>
    <w:tmpl w:val="D562C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05104F"/>
    <w:multiLevelType w:val="multilevel"/>
    <w:tmpl w:val="C16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764BC"/>
    <w:multiLevelType w:val="multilevel"/>
    <w:tmpl w:val="B43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0772D"/>
    <w:multiLevelType w:val="multilevel"/>
    <w:tmpl w:val="ABE8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76718"/>
    <w:multiLevelType w:val="multilevel"/>
    <w:tmpl w:val="7D7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E609D"/>
    <w:multiLevelType w:val="multilevel"/>
    <w:tmpl w:val="663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C3D8C"/>
    <w:multiLevelType w:val="multilevel"/>
    <w:tmpl w:val="C42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342DF"/>
    <w:multiLevelType w:val="multilevel"/>
    <w:tmpl w:val="4EF4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26379D"/>
    <w:multiLevelType w:val="multilevel"/>
    <w:tmpl w:val="895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52FAA"/>
    <w:multiLevelType w:val="multilevel"/>
    <w:tmpl w:val="981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424FB"/>
    <w:multiLevelType w:val="multilevel"/>
    <w:tmpl w:val="C0C84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47CA7"/>
    <w:multiLevelType w:val="multilevel"/>
    <w:tmpl w:val="ECA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412DD2"/>
    <w:multiLevelType w:val="multilevel"/>
    <w:tmpl w:val="244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61C79"/>
    <w:multiLevelType w:val="multilevel"/>
    <w:tmpl w:val="EE56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0B25CA"/>
    <w:multiLevelType w:val="multilevel"/>
    <w:tmpl w:val="BF3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B302C"/>
    <w:multiLevelType w:val="multilevel"/>
    <w:tmpl w:val="711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A7E7C"/>
    <w:multiLevelType w:val="multilevel"/>
    <w:tmpl w:val="7D1AA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A87AD8"/>
    <w:multiLevelType w:val="multilevel"/>
    <w:tmpl w:val="FA2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A93F2E"/>
    <w:multiLevelType w:val="multilevel"/>
    <w:tmpl w:val="2F8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833B4"/>
    <w:multiLevelType w:val="multilevel"/>
    <w:tmpl w:val="575CF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647142">
    <w:abstractNumId w:val="2"/>
  </w:num>
  <w:num w:numId="2" w16cid:durableId="2110008579">
    <w:abstractNumId w:val="20"/>
  </w:num>
  <w:num w:numId="3" w16cid:durableId="739400556">
    <w:abstractNumId w:val="1"/>
  </w:num>
  <w:num w:numId="4" w16cid:durableId="938492233">
    <w:abstractNumId w:val="0"/>
  </w:num>
  <w:num w:numId="5" w16cid:durableId="1742948952">
    <w:abstractNumId w:val="13"/>
  </w:num>
  <w:num w:numId="6" w16cid:durableId="321088225">
    <w:abstractNumId w:val="14"/>
  </w:num>
  <w:num w:numId="7" w16cid:durableId="665207243">
    <w:abstractNumId w:val="22"/>
  </w:num>
  <w:num w:numId="8" w16cid:durableId="1698846741">
    <w:abstractNumId w:val="3"/>
  </w:num>
  <w:num w:numId="9" w16cid:durableId="314068805">
    <w:abstractNumId w:val="19"/>
  </w:num>
  <w:num w:numId="10" w16cid:durableId="991255483">
    <w:abstractNumId w:val="21"/>
  </w:num>
  <w:num w:numId="11" w16cid:durableId="1989897464">
    <w:abstractNumId w:val="18"/>
  </w:num>
  <w:num w:numId="12" w16cid:durableId="2139832095">
    <w:abstractNumId w:val="9"/>
  </w:num>
  <w:num w:numId="13" w16cid:durableId="1985772280">
    <w:abstractNumId w:val="15"/>
  </w:num>
  <w:num w:numId="14" w16cid:durableId="1599748064">
    <w:abstractNumId w:val="7"/>
  </w:num>
  <w:num w:numId="15" w16cid:durableId="1783184556">
    <w:abstractNumId w:val="8"/>
  </w:num>
  <w:num w:numId="16" w16cid:durableId="526914253">
    <w:abstractNumId w:val="6"/>
  </w:num>
  <w:num w:numId="17" w16cid:durableId="1648512449">
    <w:abstractNumId w:val="16"/>
  </w:num>
  <w:num w:numId="18" w16cid:durableId="12540442">
    <w:abstractNumId w:val="17"/>
  </w:num>
  <w:num w:numId="19" w16cid:durableId="664168277">
    <w:abstractNumId w:val="12"/>
  </w:num>
  <w:num w:numId="20" w16cid:durableId="1263731367">
    <w:abstractNumId w:val="5"/>
  </w:num>
  <w:num w:numId="21" w16cid:durableId="1114785270">
    <w:abstractNumId w:val="11"/>
  </w:num>
  <w:num w:numId="22" w16cid:durableId="99956308">
    <w:abstractNumId w:val="10"/>
  </w:num>
  <w:num w:numId="23" w16cid:durableId="1476803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F8"/>
    <w:rsid w:val="00044C72"/>
    <w:rsid w:val="000803DB"/>
    <w:rsid w:val="000F74F4"/>
    <w:rsid w:val="002D3335"/>
    <w:rsid w:val="00883465"/>
    <w:rsid w:val="009B1500"/>
    <w:rsid w:val="00CB078B"/>
    <w:rsid w:val="00EB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AC7B"/>
  <w15:chartTrackingRefBased/>
  <w15:docId w15:val="{562551E2-A008-4F9B-88B9-40D5C93F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0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0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0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0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F8"/>
    <w:rPr>
      <w:rFonts w:eastAsiaTheme="majorEastAsia" w:cstheme="majorBidi"/>
      <w:color w:val="272727" w:themeColor="text1" w:themeTint="D8"/>
    </w:rPr>
  </w:style>
  <w:style w:type="paragraph" w:styleId="Title">
    <w:name w:val="Title"/>
    <w:basedOn w:val="Normal"/>
    <w:next w:val="Normal"/>
    <w:link w:val="TitleChar"/>
    <w:uiPriority w:val="10"/>
    <w:qFormat/>
    <w:rsid w:val="00EB0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2F8"/>
    <w:pPr>
      <w:spacing w:before="160"/>
      <w:jc w:val="center"/>
    </w:pPr>
    <w:rPr>
      <w:i/>
      <w:iCs/>
      <w:color w:val="404040" w:themeColor="text1" w:themeTint="BF"/>
    </w:rPr>
  </w:style>
  <w:style w:type="character" w:customStyle="1" w:styleId="QuoteChar">
    <w:name w:val="Quote Char"/>
    <w:basedOn w:val="DefaultParagraphFont"/>
    <w:link w:val="Quote"/>
    <w:uiPriority w:val="29"/>
    <w:rsid w:val="00EB02F8"/>
    <w:rPr>
      <w:i/>
      <w:iCs/>
      <w:color w:val="404040" w:themeColor="text1" w:themeTint="BF"/>
    </w:rPr>
  </w:style>
  <w:style w:type="paragraph" w:styleId="ListParagraph">
    <w:name w:val="List Paragraph"/>
    <w:basedOn w:val="Normal"/>
    <w:uiPriority w:val="34"/>
    <w:qFormat/>
    <w:rsid w:val="00EB02F8"/>
    <w:pPr>
      <w:ind w:left="720"/>
      <w:contextualSpacing/>
    </w:pPr>
  </w:style>
  <w:style w:type="character" w:styleId="IntenseEmphasis">
    <w:name w:val="Intense Emphasis"/>
    <w:basedOn w:val="DefaultParagraphFont"/>
    <w:uiPriority w:val="21"/>
    <w:qFormat/>
    <w:rsid w:val="00EB02F8"/>
    <w:rPr>
      <w:i/>
      <w:iCs/>
      <w:color w:val="0F4761" w:themeColor="accent1" w:themeShade="BF"/>
    </w:rPr>
  </w:style>
  <w:style w:type="paragraph" w:styleId="IntenseQuote">
    <w:name w:val="Intense Quote"/>
    <w:basedOn w:val="Normal"/>
    <w:next w:val="Normal"/>
    <w:link w:val="IntenseQuoteChar"/>
    <w:uiPriority w:val="30"/>
    <w:qFormat/>
    <w:rsid w:val="00EB0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2F8"/>
    <w:rPr>
      <w:i/>
      <w:iCs/>
      <w:color w:val="0F4761" w:themeColor="accent1" w:themeShade="BF"/>
    </w:rPr>
  </w:style>
  <w:style w:type="character" w:styleId="IntenseReference">
    <w:name w:val="Intense Reference"/>
    <w:basedOn w:val="DefaultParagraphFont"/>
    <w:uiPriority w:val="32"/>
    <w:qFormat/>
    <w:rsid w:val="00EB02F8"/>
    <w:rPr>
      <w:b/>
      <w:bCs/>
      <w:smallCaps/>
      <w:color w:val="0F4761" w:themeColor="accent1" w:themeShade="BF"/>
      <w:spacing w:val="5"/>
    </w:rPr>
  </w:style>
  <w:style w:type="character" w:styleId="BookTitle">
    <w:name w:val="Book Title"/>
    <w:basedOn w:val="DefaultParagraphFont"/>
    <w:uiPriority w:val="33"/>
    <w:qFormat/>
    <w:rsid w:val="00EB02F8"/>
    <w:rPr>
      <w:b/>
      <w:bCs/>
      <w:i/>
      <w:iCs/>
      <w:spacing w:val="5"/>
    </w:rPr>
  </w:style>
  <w:style w:type="paragraph" w:styleId="Caption">
    <w:name w:val="caption"/>
    <w:basedOn w:val="Normal"/>
    <w:next w:val="Normal"/>
    <w:uiPriority w:val="35"/>
    <w:semiHidden/>
    <w:unhideWhenUsed/>
    <w:qFormat/>
    <w:rsid w:val="00EB02F8"/>
    <w:pPr>
      <w:spacing w:after="200" w:line="240" w:lineRule="auto"/>
    </w:pPr>
    <w:rPr>
      <w:i/>
      <w:iCs/>
      <w:color w:val="0E2841" w:themeColor="text2"/>
      <w:sz w:val="18"/>
      <w:szCs w:val="18"/>
    </w:rPr>
  </w:style>
  <w:style w:type="character" w:styleId="Emphasis">
    <w:name w:val="Emphasis"/>
    <w:basedOn w:val="DefaultParagraphFont"/>
    <w:uiPriority w:val="20"/>
    <w:qFormat/>
    <w:rsid w:val="00EB02F8"/>
    <w:rPr>
      <w:i/>
      <w:iCs/>
    </w:rPr>
  </w:style>
  <w:style w:type="paragraph" w:styleId="NoSpacing">
    <w:name w:val="No Spacing"/>
    <w:uiPriority w:val="1"/>
    <w:qFormat/>
    <w:rsid w:val="00EB02F8"/>
    <w:pPr>
      <w:spacing w:after="0" w:line="240" w:lineRule="auto"/>
    </w:pPr>
  </w:style>
  <w:style w:type="character" w:styleId="Strong">
    <w:name w:val="Strong"/>
    <w:basedOn w:val="DefaultParagraphFont"/>
    <w:uiPriority w:val="22"/>
    <w:qFormat/>
    <w:rsid w:val="00EB02F8"/>
    <w:rPr>
      <w:b/>
      <w:bCs/>
    </w:rPr>
  </w:style>
  <w:style w:type="character" w:styleId="SubtleEmphasis">
    <w:name w:val="Subtle Emphasis"/>
    <w:basedOn w:val="DefaultParagraphFont"/>
    <w:uiPriority w:val="19"/>
    <w:qFormat/>
    <w:rsid w:val="00EB02F8"/>
    <w:rPr>
      <w:i/>
      <w:iCs/>
      <w:color w:val="404040" w:themeColor="text1" w:themeTint="BF"/>
    </w:rPr>
  </w:style>
  <w:style w:type="character" w:styleId="SubtleReference">
    <w:name w:val="Subtle Reference"/>
    <w:basedOn w:val="DefaultParagraphFont"/>
    <w:uiPriority w:val="31"/>
    <w:qFormat/>
    <w:rsid w:val="00EB02F8"/>
    <w:rPr>
      <w:smallCaps/>
      <w:color w:val="5A5A5A" w:themeColor="text1" w:themeTint="A5"/>
    </w:rPr>
  </w:style>
  <w:style w:type="paragraph" w:styleId="TOCHeading">
    <w:name w:val="TOC Heading"/>
    <w:basedOn w:val="Heading1"/>
    <w:next w:val="Normal"/>
    <w:uiPriority w:val="39"/>
    <w:semiHidden/>
    <w:unhideWhenUsed/>
    <w:qFormat/>
    <w:rsid w:val="00EB02F8"/>
    <w:pPr>
      <w:spacing w:before="240" w:after="0"/>
      <w:outlineLvl w:val="9"/>
    </w:pPr>
    <w:rPr>
      <w:sz w:val="32"/>
      <w:szCs w:val="32"/>
    </w:rPr>
  </w:style>
  <w:style w:type="table" w:styleId="GridTable4-Accent1">
    <w:name w:val="Grid Table 4 Accent 1"/>
    <w:basedOn w:val="TableNormal"/>
    <w:uiPriority w:val="49"/>
    <w:rsid w:val="00CB078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7734</Words>
  <Characters>44086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Miguez</dc:creator>
  <cp:keywords/>
  <dc:description/>
  <cp:lastModifiedBy>Chris Miguez</cp:lastModifiedBy>
  <cp:revision>2</cp:revision>
  <dcterms:created xsi:type="dcterms:W3CDTF">2026-08-14T18:32:00Z</dcterms:created>
  <dcterms:modified xsi:type="dcterms:W3CDTF">2026-08-14T18:32:00Z</dcterms:modified>
</cp:coreProperties>
</file>