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distribution-is-solved.-governance-isnt."/>
    <w:p>
      <w:pPr>
        <w:pStyle w:val="Heading1"/>
      </w:pPr>
      <w:r>
        <w:t xml:space="preserve">Distribution Is Solved. Governance Isn’t.</w:t>
      </w:r>
    </w:p>
    <w:bookmarkStart w:id="20" w:name="X25d9d8098b2a272e28419ec63d4caee9cee3956"/>
    <w:p>
      <w:pPr>
        <w:pStyle w:val="Heading2"/>
      </w:pPr>
      <w:r>
        <w:t xml:space="preserve">What Zuckerberg just proved, and what he left out</w:t>
      </w:r>
    </w:p>
    <w:p>
      <w:pPr>
        <w:pStyle w:val="FirstParagraph"/>
      </w:pPr>
      <w:r>
        <w:t xml:space="preserve">Mark Zuckerberg published 6,500 words this week making the case that superintelligence belongs to everyone. Meta is putting a 30-billion-parameter model on laptops, open-sourcing its frontier weights, and writing a billion-dollar check to the towns that host its data centers. The message is clear: the future of AI will not be decided inside two or three closed labs.</w:t>
      </w:r>
    </w:p>
    <w:p>
      <w:pPr>
        <w:pStyle w:val="BodyText"/>
      </w:pPr>
      <w:r>
        <w:t xml:space="preserve">He’s right about the distribution problem. I’ve been building on that same bet for a long time. The whole premise behind my work is that a person with an idea should be able to stand toe to toe with an institution. When a model with real reasoning ability runs on the machine sitting on your desk, that stops being a motivational line and becomes infrastructure.</w:t>
      </w:r>
    </w:p>
    <w:p>
      <w:pPr>
        <w:pStyle w:val="BodyText"/>
      </w:pPr>
      <w:r>
        <w:t xml:space="preserve">But read the essay carefully and notice what’s missing. He spends thousands of words on who gets superintelligence and almost none on what holds it accountable once everyone has it.</w:t>
      </w:r>
    </w:p>
    <w:p>
      <w:pPr>
        <w:pStyle w:val="BodyText"/>
      </w:pPr>
      <w:r>
        <w:t xml:space="preserve">That gap is what I built IGL to close.</w:t>
      </w:r>
    </w:p>
    <w:bookmarkEnd w:id="20"/>
    <w:bookmarkStart w:id="21" w:name="the-part-nobody-wants-to-talk-about"/>
    <w:p>
      <w:pPr>
        <w:pStyle w:val="Heading2"/>
      </w:pPr>
      <w:r>
        <w:t xml:space="preserve">The part nobody wants to talk about</w:t>
      </w:r>
    </w:p>
    <w:p>
      <w:pPr>
        <w:pStyle w:val="FirstParagraph"/>
      </w:pPr>
      <w:r>
        <w:t xml:space="preserve">Handing a powerful agent to every person on the planet sounds like a triumph, and in most ways it is. It’s also the largest ungoverned deployment of autonomous capability in history. Millions of agents, running locally, acting on behalf of their owners, touching bank accounts, medical records, business systems, and public infrastructure.</w:t>
      </w:r>
    </w:p>
    <w:p>
      <w:pPr>
        <w:pStyle w:val="BodyText"/>
      </w:pPr>
      <w:r>
        <w:t xml:space="preserve">The safety answer coming out of the big labs is transparency. Open the weights. Let the community inspect them. Trust that sunlight keeps things honest.</w:t>
      </w:r>
    </w:p>
    <w:p>
      <w:pPr>
        <w:pStyle w:val="BodyText"/>
      </w:pPr>
      <w:r>
        <w:t xml:space="preserve">I respect that answer and I don’t think it’s enough. Knowing what a model is tells you nothing about what it did last Tuesday at 3 a.m. when it was negotiating on your behalf, or what it will do tomorrow when someone else’s agent talks it into something. Weights are static. Behavior is not. You cannot audit a decision by staring at the thing that made it possible. You audit the decision itself.</w:t>
      </w:r>
    </w:p>
    <w:p>
      <w:pPr>
        <w:pStyle w:val="BodyText"/>
      </w:pPr>
      <w:r>
        <w:t xml:space="preserve">Every other time computing crossed a threshold like this, we built a layer for exactly this problem. CUDA made raw compute programmable. Ethereum made state verifiable between parties who don’t trust each other. Kubernetes made it possible to run millions of workloads without losing control of them. Each one took a capability that was powerful and chaotic and gave it structure that humans could rely on.</w:t>
      </w:r>
    </w:p>
    <w:p>
      <w:pPr>
        <w:pStyle w:val="BodyText"/>
      </w:pPr>
      <w:r>
        <w:t xml:space="preserve">Intelligence is crossing that threshold now, and the structure layer is missing.</w:t>
      </w:r>
    </w:p>
    <w:bookmarkEnd w:id="21"/>
    <w:bookmarkStart w:id="22" w:name="what-igl-actually-is"/>
    <w:p>
      <w:pPr>
        <w:pStyle w:val="Heading2"/>
      </w:pPr>
      <w:r>
        <w:t xml:space="preserve">What IGL actually is</w:t>
      </w:r>
    </w:p>
    <w:p>
      <w:pPr>
        <w:pStyle w:val="FirstParagraph"/>
      </w:pPr>
      <w:r>
        <w:t xml:space="preserve">IGL stands for Identity Governed Logic. It’s a coding language, the same way Python or Visual Basic is a coding language, but it’s built around one rule that changes everything: intelligence has to identify itself, declare its boundaries, and state its intent before it thinks.</w:t>
      </w:r>
    </w:p>
    <w:p>
      <w:pPr>
        <w:pStyle w:val="BodyText"/>
      </w:pPr>
      <w:r>
        <w:t xml:space="preserve">Not after. Not when something goes wrong. Before.</w:t>
      </w:r>
    </w:p>
    <w:p>
      <w:pPr>
        <w:pStyle w:val="BodyText"/>
      </w:pPr>
      <w:r>
        <w:t xml:space="preserve">Every IGL program binds four things into the computation itself. Identity, so you always know who or what is acting. Boundaries, so what it may and may not do is declared up front and enforced while it runs, not promised in a policy document. Intent, so the reason for the action is on the record. And a trace, a signed append-only log of every step it took, so</w:t>
      </w:r>
      <w:r>
        <w:t xml:space="preserve"> </w:t>
      </w:r>
      <w:r>
        <w:t xml:space="preserve">“</w:t>
      </w:r>
      <w:r>
        <w:t xml:space="preserve">what happened</w:t>
      </w:r>
      <w:r>
        <w:t xml:space="preserve">”</w:t>
      </w:r>
      <w:r>
        <w:t xml:space="preserve"> </w:t>
      </w:r>
      <w:r>
        <w:t xml:space="preserve">is never a debate.</w:t>
      </w:r>
    </w:p>
    <w:p>
      <w:pPr>
        <w:pStyle w:val="BodyText"/>
      </w:pPr>
      <w:r>
        <w:t xml:space="preserve">When I say it binds these into the computation, I mean it literally. In IGL, an agent that hasn’t declared its identity can’t execute. An action outside the declared boundary doesn’t get a warning, it doesn’t run. This isn’t a terms-of-service agreement taped to the side of the machine. It’s the syntax.</w:t>
      </w:r>
    </w:p>
    <w:bookmarkEnd w:id="22"/>
    <w:bookmarkStart w:id="23" w:name="why-this-moment-matters"/>
    <w:p>
      <w:pPr>
        <w:pStyle w:val="Heading2"/>
      </w:pPr>
      <w:r>
        <w:t xml:space="preserve">Why this moment matters</w:t>
      </w:r>
    </w:p>
    <w:p>
      <w:pPr>
        <w:pStyle w:val="FirstParagraph"/>
      </w:pPr>
      <w:r>
        <w:t xml:space="preserve">Zuckerberg just moved the whole industry onto the distribution side of the argument. Local models, open weights, personal superintelligence. Whether you love Meta or distrust them, the direction is set. Intelligence is about to be everywhere, owned by everyone, running unsupervised on personal hardware.</w:t>
      </w:r>
    </w:p>
    <w:p>
      <w:pPr>
        <w:pStyle w:val="BodyText"/>
      </w:pPr>
      <w:r>
        <w:t xml:space="preserve">Somebody has to build the layer that makes that world safe to live in. Not a committee. Not a content filter bolted on afterward. A real, structural, enforceable grammar of what intelligence is allowed to do and a permanent record of what it actually did.</w:t>
      </w:r>
    </w:p>
    <w:p>
      <w:pPr>
        <w:pStyle w:val="BodyText"/>
      </w:pPr>
      <w:r>
        <w:t xml:space="preserve">That’s IGL. Where Meta is shipping the engines, IGL is the law the engines run under. Openness tells you what a mind is made of. Governance tells you what it’s accountable for. The future Zuckerberg described only works if both exist.</w:t>
      </w:r>
    </w:p>
    <w:p>
      <w:pPr>
        <w:pStyle w:val="BodyText"/>
      </w:pPr>
      <w:r>
        <w:t xml:space="preserve">He just told the world that superintelligence is for everyone. IGL is how everyone stays safe when it arrives.</w:t>
      </w:r>
    </w:p>
    <w:p>
      <w:r>
        <w:pict>
          <v:rect style="width:0;height:1.5pt" o:hralign="center" o:hrstd="t" o:hr="t"/>
        </w:pict>
      </w:r>
    </w:p>
    <w:p>
      <w:pPr>
        <w:pStyle w:val="FirstParagraph"/>
      </w:pPr>
      <w:r>
        <w:rPr>
          <w:iCs/>
          <w:i/>
        </w:rPr>
        <w:t xml:space="preserve">IGL v1.0 is live at igl.dev. The spec is free to read.</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2026-08-10T15:51:03Z</dcterms:created>
  <dcterms:modified xsi:type="dcterms:W3CDTF">2026-08-10T15:51:03Z</dcterms:modified>
</cp:coreProperties>
</file>

<file path=docProps/custom.xml><?xml version="1.0" encoding="utf-8"?>
<Properties xmlns="http://schemas.openxmlformats.org/officeDocument/2006/custom-properties" xmlns:vt="http://schemas.openxmlformats.org/officeDocument/2006/docPropsVTypes"/>
</file>