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720" w:after="40"/>
      </w:pPr>
      <w:r>
        <w:rPr>
          <w:rFonts w:ascii="Calibri" w:hAnsi="Calibri"/>
          <w:b/>
          <w:color w:val="C8102E"/>
          <w:sz w:val="20"/>
        </w:rPr>
        <w:t>INTERNAL  ·  PRESENTER REFERENCE  ·  WHITEBOARD DRAWINGS</w:t>
      </w:r>
    </w:p>
    <w:p>
      <w:pPr>
        <w:pBdr>
          <w:bottom w:val="single" w:sz="18" w:space="4" w:color="C8102E"/>
        </w:pBdr>
        <w:spacing w:after="280"/>
      </w:pPr>
    </w:p>
    <w:p>
      <w:pPr>
        <w:spacing w:after="120"/>
      </w:pPr>
      <w:r>
        <w:rPr>
          <w:rFonts w:ascii="Calibri" w:hAnsi="Calibri"/>
          <w:b/>
          <w:color w:val="0A0A0A"/>
          <w:sz w:val="34"/>
        </w:rPr>
        <w:t>IOS+ Lamar Edition</w:t>
      </w:r>
    </w:p>
    <w:p>
      <w:pPr>
        <w:spacing w:after="280"/>
      </w:pPr>
      <w:r>
        <w:rPr>
          <w:rFonts w:ascii="Calibri" w:hAnsi="Calibri"/>
          <w:b/>
          <w:color w:val="0A0A0A"/>
          <w:sz w:val="40"/>
        </w:rPr>
        <w:t>Whiteboard Drawings.</w:t>
      </w:r>
    </w:p>
    <w:p>
      <w:pPr>
        <w:spacing w:after="280" w:line="312" w:lineRule="auto"/>
        <w:jc w:val="both"/>
      </w:pPr>
      <w:r>
        <w:rPr>
          <w:rFonts w:ascii="Calibri" w:hAnsi="Calibri"/>
          <w:i/>
          <w:color w:val="5E5E5E"/>
          <w:sz w:val="24"/>
        </w:rPr>
        <w:t>Three reference drawings the presenter will reproduce live on the whiteboard during the deep dive with Patrick Stewart, Sri Varadaraj, and Steven Veron. Each drawing has an anchor phrase to speak while drawing and a structural note set for morning-of preparation.</w:t>
      </w:r>
    </w:p>
    <w:p>
      <w:pPr>
        <w:spacing w:before="160" w:after="200" w:line="300" w:lineRule="auto"/>
        <w:ind w:left="216" w:right="216"/>
        <w:pBdr>
          <w:left w:val="single" w:sz="32" w:space="8" w:color="C8102E"/>
        </w:pBdr>
        <w:shd w:val="clear" w:color="auto" w:fill="FBE7EA"/>
      </w:pPr>
      <w:r>
        <w:rPr>
          <w:rFonts w:ascii="Calibri" w:hAnsi="Calibri"/>
          <w:b/>
          <w:i w:val="0"/>
          <w:color w:val="0A0A0A"/>
          <w:sz w:val="21"/>
        </w:rPr>
        <w:t xml:space="preserve">Purpose. </w:t>
      </w:r>
      <w:r>
        <w:rPr>
          <w:rFonts w:ascii="Calibri" w:hAnsi="Calibri"/>
          <w:b w:val="0"/>
          <w:i w:val="0"/>
          <w:color w:val="0A0A0A"/>
          <w:sz w:val="21"/>
        </w:rPr>
        <w:t>Drawing the architecture live at the whiteboard demonstrates fluency in a way no slide deck can. These three drawings are the anchors of the 20-minute architectural segment. Study them, internalize them, then close this document and draw from memory.</w:t>
        <w:br/>
        <w:br/>
      </w:r>
      <w:r>
        <w:rPr>
          <w:rFonts w:ascii="Calibri" w:hAnsi="Calibri"/>
          <w:b/>
          <w:i w:val="0"/>
          <w:color w:val="0A0A0A"/>
          <w:sz w:val="21"/>
        </w:rPr>
        <w:t xml:space="preserve">Use. </w:t>
      </w:r>
      <w:r>
        <w:rPr>
          <w:rFonts w:ascii="Calibri" w:hAnsi="Calibri"/>
          <w:b w:val="0"/>
          <w:i w:val="0"/>
          <w:color w:val="0A0A0A"/>
          <w:sz w:val="21"/>
        </w:rPr>
        <w:t>Reviewed the morning of the meeting. Carried in the folder but not consulted at the whiteboard. The room watches whether you are drawing from preparation or from the page.</w:t>
      </w:r>
    </w:p>
    <w:p>
      <w:pPr>
        <w:spacing w:before="0" w:after="280"/>
      </w:pPr>
    </w:p>
    <w:p>
      <w:pPr>
        <w:spacing w:after="80"/>
      </w:pPr>
      <w:r>
        <w:rPr>
          <w:rFonts w:ascii="Calibri" w:hAnsi="Calibri"/>
          <w:b/>
          <w:color w:val="C8102E"/>
          <w:sz w:val="17"/>
        </w:rPr>
        <w:t>DRAWING SEQUENCE</w:t>
      </w:r>
    </w:p>
    <w:p>
      <w:pPr>
        <w:spacing w:after="160" w:line="276" w:lineRule="auto"/>
      </w:pPr>
      <w:r>
        <w:rPr>
          <w:rFonts w:ascii="Calibri" w:hAnsi="Calibri"/>
          <w:b w:val="0"/>
          <w:i w:val="0"/>
          <w:color w:val="0A0A0A"/>
          <w:sz w:val="21"/>
        </w:rPr>
        <w:t>Three drawings, in order, each 5–7 minutes. Total architectural segment: 20 minutes including questions. The drawings build on each other — Drawing 1 establishes the deployment topology, Drawing 2 establishes the data boundary, Drawing 3 establishes the change-control pipeline.</w:t>
      </w:r>
    </w:p>
    <w:p>
      <w:r>
        <w:br w:type="page"/>
      </w:r>
    </w:p>
    <w:p>
      <w:pPr>
        <w:spacing w:before="160" w:after="40"/>
      </w:pPr>
      <w:r>
        <w:rPr>
          <w:rFonts w:ascii="Calibri" w:hAnsi="Calibri"/>
          <w:b/>
          <w:color w:val="C8102E"/>
          <w:sz w:val="18"/>
        </w:rPr>
        <w:t>DRAWING 1 — FOUR-TIER DEPLOYMENT TOPOLOGY</w:t>
      </w:r>
    </w:p>
    <w:p>
      <w:pPr>
        <w:spacing w:before="40" w:after="80"/>
        <w:pBdr>
          <w:bottom w:val="single" w:sz="12" w:space="4" w:color="C8102E"/>
        </w:pBdr>
      </w:pPr>
      <w:r>
        <w:rPr>
          <w:rFonts w:ascii="Calibri" w:hAnsi="Calibri"/>
          <w:b/>
          <w:color w:val="0A0A0A"/>
          <w:sz w:val="34"/>
        </w:rPr>
        <w:t>Drawing 1 — Four-tier deployment topology</w:t>
      </w:r>
    </w:p>
    <w:p>
      <w:pPr>
        <w:spacing w:after="160" w:line="276" w:lineRule="auto"/>
        <w:jc w:val="both"/>
      </w:pPr>
      <w:r>
        <w:rPr>
          <w:rFonts w:ascii="Calibri" w:hAnsi="Calibri"/>
          <w:b w:val="0"/>
          <w:i w:val="0"/>
          <w:color w:val="0A0A0A"/>
          <w:sz w:val="21"/>
        </w:rPr>
        <w:t>The four-tier topology is the structural backbone. It establishes the network segmentation that Lamar IT needs to see before any other architectural claim is made. Draw four horizontal bands stacked vertically. Color-code with markers: red border on DMZ, blue on Application, green on Data, navy on Identity.</w:t>
      </w:r>
    </w:p>
    <w:p>
      <w:pPr>
        <w:spacing w:before="80" w:after="80"/>
        <w:jc w:val="center"/>
      </w:pPr>
      <w:r>
        <w:drawing>
          <wp:inline xmlns:a="http://schemas.openxmlformats.org/drawingml/2006/main" xmlns:pic="http://schemas.openxmlformats.org/drawingml/2006/picture">
            <wp:extent cx="6126480" cy="4734098"/>
            <wp:docPr id="1" name="Picture 1"/>
            <wp:cNvGraphicFramePr>
              <a:graphicFrameLocks noChangeAspect="1"/>
            </wp:cNvGraphicFramePr>
            <a:graphic>
              <a:graphicData uri="http://schemas.openxmlformats.org/drawingml/2006/picture">
                <pic:pic>
                  <pic:nvPicPr>
                    <pic:cNvPr id="0" name="drawing-1.png"/>
                    <pic:cNvPicPr/>
                  </pic:nvPicPr>
                  <pic:blipFill>
                    <a:blip r:embed="rId11"/>
                    <a:stretch>
                      <a:fillRect/>
                    </a:stretch>
                  </pic:blipFill>
                  <pic:spPr>
                    <a:xfrm>
                      <a:off x="0" y="0"/>
                      <a:ext cx="6126480" cy="4734098"/>
                    </a:xfrm>
                    <a:prstGeom prst="rect"/>
                  </pic:spPr>
                </pic:pic>
              </a:graphicData>
            </a:graphic>
          </wp:inline>
        </w:drawing>
      </w:r>
    </w:p>
    <w:p>
      <w:pPr>
        <w:spacing w:before="160" w:after="200" w:line="300" w:lineRule="auto"/>
        <w:ind w:left="216" w:right="216"/>
        <w:pBdr>
          <w:left w:val="single" w:sz="32" w:space="8" w:color="C8102E"/>
        </w:pBdr>
        <w:shd w:val="clear" w:color="auto" w:fill="FBE7EA"/>
      </w:pPr>
      <w:r>
        <w:rPr>
          <w:rFonts w:ascii="Calibri" w:hAnsi="Calibri"/>
          <w:b/>
          <w:i w:val="0"/>
          <w:color w:val="0A0A0A"/>
          <w:sz w:val="21"/>
        </w:rPr>
        <w:t>Anchor phrase — say while drawing the DMZ tier:</w:t>
        <w:br/>
        <w:br/>
      </w:r>
      <w:r>
        <w:rPr>
          <w:rFonts w:ascii="Calibri" w:hAnsi="Calibri"/>
          <w:b/>
          <w:i/>
          <w:color w:val="0A0A0A"/>
          <w:sz w:val="21"/>
        </w:rPr>
        <w:t>“The only inbound from the internet is the signed-bundle endpoint. That's it.”</w:t>
      </w:r>
    </w:p>
    <w:p>
      <w:pPr>
        <w:spacing w:before="280" w:after="80"/>
      </w:pPr>
      <w:r>
        <w:rPr>
          <w:rFonts w:ascii="Calibri" w:hAnsi="Calibri"/>
          <w:b/>
          <w:color w:val="C8102E"/>
          <w:sz w:val="24"/>
        </w:rPr>
        <w:t>How to reproduce on the whiteboard</w:t>
      </w:r>
    </w:p>
    <w:tbl>
      <w:tblPr>
        <w:tblW w:type="auto" w:w="0"/>
        <w:jc w:val="left"/>
        <w:tblLayout w:type="fixed"/>
        <w:tblLook w:firstColumn="1" w:firstRow="1" w:lastColumn="0" w:lastRow="0" w:noHBand="0" w:noVBand="1" w:val="04A0"/>
      </w:tblPr>
      <w:tblGrid>
        <w:gridCol w:w="4968"/>
        <w:gridCol w:w="4968"/>
      </w:tblGrid>
      <w:tr>
        <w:tc>
          <w:tcPr>
            <w:tcW w:type="dxa" w:w="720"/>
            <w:shd w:val="clear" w:color="auto" w:fill="C8102E"/>
            <w:tcBorders>
              <w:top w:val="single" w:sz="4" w:space="0" w:color="C8102E"/>
              <w:bottom w:val="single" w:sz="4" w:space="0" w:color="C8102E"/>
              <w:left w:val="single" w:sz="4" w:space="0" w:color="C8102E"/>
              <w:right w:val="single" w:sz="4" w:space="0" w:color="C8102E"/>
            </w:tcBorders>
            <w:vAlign w:val="top"/>
          </w:tcPr>
          <w:p>
            <w:r/>
            <w:r>
              <w:rPr>
                <w:rFonts w:ascii="Calibri" w:hAnsi="Calibri"/>
                <w:b/>
                <w:color w:val="FFFFFF"/>
                <w:sz w:val="18"/>
              </w:rPr>
              <w:t>STEP</w:t>
            </w:r>
          </w:p>
        </w:tc>
        <w:tc>
          <w:tcPr>
            <w:tcW w:type="dxa" w:w="8928"/>
            <w:shd w:val="clear" w:color="auto" w:fill="C8102E"/>
            <w:tcBorders>
              <w:top w:val="single" w:sz="4" w:space="0" w:color="C8102E"/>
              <w:bottom w:val="single" w:sz="4" w:space="0" w:color="C8102E"/>
              <w:left w:val="single" w:sz="4" w:space="0" w:color="C8102E"/>
              <w:right w:val="single" w:sz="4" w:space="0" w:color="C8102E"/>
            </w:tcBorders>
            <w:vAlign w:val="top"/>
          </w:tcPr>
          <w:p>
            <w:r/>
            <w:r>
              <w:rPr>
                <w:rFonts w:ascii="Calibri" w:hAnsi="Calibri"/>
                <w:b/>
                <w:color w:val="FFFFFF"/>
                <w:sz w:val="18"/>
              </w:rPr>
              <w:t>ACTION</w:t>
            </w:r>
          </w:p>
        </w:tc>
      </w:tr>
      <w:tr>
        <w:tc>
          <w:tcPr>
            <w:tcW w:type="dxa" w:w="720"/>
            <w:shd w:val="clear" w:color="auto" w:fill="FAFAFA"/>
            <w:tcBorders>
              <w:top w:val="nil"/>
              <w:bottom w:val="single" w:sz="4" w:space="0" w:color="CFCFCF"/>
              <w:left w:val="nil"/>
              <w:right w:val="nil"/>
            </w:tcBorders>
            <w:vAlign w:val="top"/>
          </w:tcPr>
          <w:p>
            <w:pPr>
              <w:spacing w:before="80" w:after="80"/>
            </w:pPr>
            <w:r/>
            <w:r>
              <w:rPr>
                <w:rFonts w:ascii="Calibri" w:hAnsi="Calibri"/>
                <w:color w:val="0A0A0A"/>
                <w:sz w:val="17"/>
              </w:rPr>
              <w:t>1</w:t>
            </w:r>
          </w:p>
        </w:tc>
        <w:tc>
          <w:tcPr>
            <w:tcW w:type="dxa" w:w="8928"/>
            <w:shd w:val="clear" w:color="auto" w:fill="FAFAFA"/>
            <w:tcBorders>
              <w:top w:val="nil"/>
              <w:bottom w:val="single" w:sz="4" w:space="0" w:color="CFCFCF"/>
              <w:left w:val="nil"/>
              <w:right w:val="nil"/>
            </w:tcBorders>
            <w:vAlign w:val="top"/>
          </w:tcPr>
          <w:p>
            <w:pPr>
              <w:spacing w:before="80" w:after="80"/>
            </w:pPr>
            <w:r/>
            <w:r>
              <w:rPr>
                <w:rFonts w:ascii="Calibri" w:hAnsi="Calibri"/>
                <w:color w:val="0A0A0A"/>
                <w:sz w:val="17"/>
              </w:rPr>
              <w:t>Draw a small box labeled 'Microsoft 365 Copilot (plugin runtime in Azure)' at the top of the board. Outside the perimeter.</w:t>
            </w:r>
          </w:p>
        </w:tc>
      </w:tr>
      <w:tr>
        <w:tc>
          <w:tcPr>
            <w:tcW w:type="dxa" w:w="720"/>
            <w:shd w:val="clear" w:color="auto" w:fill="FFFFFF"/>
            <w:tcBorders>
              <w:top w:val="nil"/>
              <w:bottom w:val="single" w:sz="4" w:space="0" w:color="CFCFCF"/>
              <w:left w:val="nil"/>
              <w:right w:val="nil"/>
            </w:tcBorders>
            <w:vAlign w:val="top"/>
          </w:tcPr>
          <w:p>
            <w:pPr>
              <w:spacing w:before="80" w:after="80"/>
            </w:pPr>
            <w:r/>
            <w:r>
              <w:rPr>
                <w:rFonts w:ascii="Calibri" w:hAnsi="Calibri"/>
                <w:color w:val="0A0A0A"/>
                <w:sz w:val="17"/>
              </w:rPr>
              <w:t>2</w:t>
            </w:r>
          </w:p>
        </w:tc>
        <w:tc>
          <w:tcPr>
            <w:tcW w:type="dxa" w:w="8928"/>
            <w:shd w:val="clear" w:color="auto" w:fill="FFFFFF"/>
            <w:tcBorders>
              <w:top w:val="nil"/>
              <w:bottom w:val="single" w:sz="4" w:space="0" w:color="CFCFCF"/>
              <w:left w:val="nil"/>
              <w:right w:val="nil"/>
            </w:tcBorders>
            <w:vAlign w:val="top"/>
          </w:tcPr>
          <w:p>
            <w:pPr>
              <w:spacing w:before="80" w:after="80"/>
            </w:pPr>
            <w:r/>
            <w:r>
              <w:rPr>
                <w:rFonts w:ascii="Calibri" w:hAnsi="Calibri"/>
                <w:color w:val="0A0A0A"/>
                <w:sz w:val="17"/>
              </w:rPr>
              <w:t>Draw a vertical arrow down from Copilot to the perimeter, annotated 'HTTPS / mTLS'.</w:t>
            </w:r>
          </w:p>
        </w:tc>
      </w:tr>
      <w:tr>
        <w:tc>
          <w:tcPr>
            <w:tcW w:type="dxa" w:w="720"/>
            <w:shd w:val="clear" w:color="auto" w:fill="FAFAFA"/>
            <w:tcBorders>
              <w:top w:val="nil"/>
              <w:bottom w:val="single" w:sz="4" w:space="0" w:color="CFCFCF"/>
              <w:left w:val="nil"/>
              <w:right w:val="nil"/>
            </w:tcBorders>
            <w:vAlign w:val="top"/>
          </w:tcPr>
          <w:p>
            <w:pPr>
              <w:spacing w:before="80" w:after="80"/>
            </w:pPr>
            <w:r/>
            <w:r>
              <w:rPr>
                <w:rFonts w:ascii="Calibri" w:hAnsi="Calibri"/>
                <w:color w:val="0A0A0A"/>
                <w:sz w:val="17"/>
              </w:rPr>
              <w:t>3</w:t>
            </w:r>
          </w:p>
        </w:tc>
        <w:tc>
          <w:tcPr>
            <w:tcW w:type="dxa" w:w="8928"/>
            <w:shd w:val="clear" w:color="auto" w:fill="FAFAFA"/>
            <w:tcBorders>
              <w:top w:val="nil"/>
              <w:bottom w:val="single" w:sz="4" w:space="0" w:color="CFCFCF"/>
              <w:left w:val="nil"/>
              <w:right w:val="nil"/>
            </w:tcBorders>
            <w:vAlign w:val="top"/>
          </w:tcPr>
          <w:p>
            <w:pPr>
              <w:spacing w:before="80" w:after="80"/>
            </w:pPr>
            <w:r/>
            <w:r>
              <w:rPr>
                <w:rFonts w:ascii="Calibri" w:hAnsi="Calibri"/>
                <w:color w:val="0A0A0A"/>
                <w:sz w:val="17"/>
              </w:rPr>
              <w:t>Draw a large dashed-line rectangle labeled 'LAMAR PERIMETER' occupying the lower 3/4 of the board. This is the air-gap indicator.</w:t>
            </w:r>
          </w:p>
        </w:tc>
      </w:tr>
      <w:tr>
        <w:tc>
          <w:tcPr>
            <w:tcW w:type="dxa" w:w="720"/>
            <w:shd w:val="clear" w:color="auto" w:fill="FFFFFF"/>
            <w:tcBorders>
              <w:top w:val="nil"/>
              <w:bottom w:val="single" w:sz="4" w:space="0" w:color="CFCFCF"/>
              <w:left w:val="nil"/>
              <w:right w:val="nil"/>
            </w:tcBorders>
            <w:vAlign w:val="top"/>
          </w:tcPr>
          <w:p>
            <w:pPr>
              <w:spacing w:before="80" w:after="80"/>
            </w:pPr>
            <w:r/>
            <w:r>
              <w:rPr>
                <w:rFonts w:ascii="Calibri" w:hAnsi="Calibri"/>
                <w:color w:val="0A0A0A"/>
                <w:sz w:val="17"/>
              </w:rPr>
              <w:t>4</w:t>
            </w:r>
          </w:p>
        </w:tc>
        <w:tc>
          <w:tcPr>
            <w:tcW w:type="dxa" w:w="8928"/>
            <w:shd w:val="clear" w:color="auto" w:fill="FFFFFF"/>
            <w:tcBorders>
              <w:top w:val="nil"/>
              <w:bottom w:val="single" w:sz="4" w:space="0" w:color="CFCFCF"/>
              <w:left w:val="nil"/>
              <w:right w:val="nil"/>
            </w:tcBorders>
            <w:vAlign w:val="top"/>
          </w:tcPr>
          <w:p>
            <w:pPr>
              <w:spacing w:before="80" w:after="80"/>
            </w:pPr>
            <w:r/>
            <w:r>
              <w:rPr>
                <w:rFonts w:ascii="Calibri" w:hAnsi="Calibri"/>
                <w:color w:val="0A0A0A"/>
                <w:sz w:val="17"/>
              </w:rPr>
              <w:t>Inside the perimeter, draw four horizontal bands stacked top-to-bottom: DMZ (Tier 1), Application (Tier 2), Data (Tier 3), Identity (Tier 4).</w:t>
            </w:r>
          </w:p>
        </w:tc>
      </w:tr>
      <w:tr>
        <w:tc>
          <w:tcPr>
            <w:tcW w:type="dxa" w:w="720"/>
            <w:shd w:val="clear" w:color="auto" w:fill="FAFAFA"/>
            <w:tcBorders>
              <w:top w:val="nil"/>
              <w:bottom w:val="single" w:sz="4" w:space="0" w:color="CFCFCF"/>
              <w:left w:val="nil"/>
              <w:right w:val="nil"/>
            </w:tcBorders>
            <w:vAlign w:val="top"/>
          </w:tcPr>
          <w:p>
            <w:pPr>
              <w:spacing w:before="80" w:after="80"/>
            </w:pPr>
            <w:r/>
            <w:r>
              <w:rPr>
                <w:rFonts w:ascii="Calibri" w:hAnsi="Calibri"/>
                <w:color w:val="0A0A0A"/>
                <w:sz w:val="17"/>
              </w:rPr>
              <w:t>5</w:t>
            </w:r>
          </w:p>
        </w:tc>
        <w:tc>
          <w:tcPr>
            <w:tcW w:type="dxa" w:w="8928"/>
            <w:shd w:val="clear" w:color="auto" w:fill="FAFAFA"/>
            <w:tcBorders>
              <w:top w:val="nil"/>
              <w:bottom w:val="single" w:sz="4" w:space="0" w:color="CFCFCF"/>
              <w:left w:val="nil"/>
              <w:right w:val="nil"/>
            </w:tcBorders>
            <w:vAlign w:val="top"/>
          </w:tcPr>
          <w:p>
            <w:pPr>
              <w:spacing w:before="80" w:after="80"/>
            </w:pPr>
            <w:r/>
            <w:r>
              <w:rPr>
                <w:rFonts w:ascii="Calibri" w:hAnsi="Calibri"/>
                <w:color w:val="0A0A0A"/>
                <w:sz w:val="17"/>
              </w:rPr>
              <w:t>Color the left edge of each tier: red for DMZ, blue for App, green for Data, navy for IdP. Write the tier label and name in the colored stripe.</w:t>
            </w:r>
          </w:p>
        </w:tc>
      </w:tr>
      <w:tr>
        <w:tc>
          <w:tcPr>
            <w:tcW w:type="dxa" w:w="720"/>
            <w:shd w:val="clear" w:color="auto" w:fill="FFFFFF"/>
            <w:tcBorders>
              <w:top w:val="nil"/>
              <w:bottom w:val="single" w:sz="4" w:space="0" w:color="CFCFCF"/>
              <w:left w:val="nil"/>
              <w:right w:val="nil"/>
            </w:tcBorders>
            <w:vAlign w:val="top"/>
          </w:tcPr>
          <w:p>
            <w:pPr>
              <w:spacing w:before="80" w:after="80"/>
            </w:pPr>
            <w:r/>
            <w:r>
              <w:rPr>
                <w:rFonts w:ascii="Calibri" w:hAnsi="Calibri"/>
                <w:color w:val="0A0A0A"/>
                <w:sz w:val="17"/>
              </w:rPr>
              <w:t>6</w:t>
            </w:r>
          </w:p>
        </w:tc>
        <w:tc>
          <w:tcPr>
            <w:tcW w:type="dxa" w:w="8928"/>
            <w:shd w:val="clear" w:color="auto" w:fill="FFFFFF"/>
            <w:tcBorders>
              <w:top w:val="nil"/>
              <w:bottom w:val="single" w:sz="4" w:space="0" w:color="CFCFCF"/>
              <w:left w:val="nil"/>
              <w:right w:val="nil"/>
            </w:tcBorders>
            <w:vAlign w:val="top"/>
          </w:tcPr>
          <w:p>
            <w:pPr>
              <w:spacing w:before="80" w:after="80"/>
            </w:pPr>
            <w:r/>
            <w:r>
              <w:rPr>
                <w:rFonts w:ascii="Calibri" w:hAnsi="Calibri"/>
                <w:color w:val="0A0A0A"/>
                <w:sz w:val="17"/>
              </w:rPr>
              <w:t>Inside each tier, write the service line: DMZ = 'Signed-bundle endpoint, WAF, no other inbound.' App = 'Gate-530 API, PDP, Reviewer UI.' Data = 'PostgreSQL UCO + audit_log, MinIO.' IdP = 'Azure AD / Entra ID, RBAC, service principals.'</w:t>
            </w:r>
          </w:p>
        </w:tc>
      </w:tr>
      <w:tr>
        <w:tc>
          <w:tcPr>
            <w:tcW w:type="dxa" w:w="720"/>
            <w:shd w:val="clear" w:color="auto" w:fill="FAFAFA"/>
            <w:tcBorders>
              <w:top w:val="nil"/>
              <w:bottom w:val="single" w:sz="4" w:space="0" w:color="CFCFCF"/>
              <w:left w:val="nil"/>
              <w:right w:val="nil"/>
            </w:tcBorders>
            <w:vAlign w:val="top"/>
          </w:tcPr>
          <w:p>
            <w:pPr>
              <w:spacing w:before="80" w:after="80"/>
            </w:pPr>
            <w:r/>
            <w:r>
              <w:rPr>
                <w:rFonts w:ascii="Calibri" w:hAnsi="Calibri"/>
                <w:color w:val="0A0A0A"/>
                <w:sz w:val="17"/>
              </w:rPr>
              <w:t>7</w:t>
            </w:r>
          </w:p>
        </w:tc>
        <w:tc>
          <w:tcPr>
            <w:tcW w:type="dxa" w:w="8928"/>
            <w:shd w:val="clear" w:color="auto" w:fill="FAFAFA"/>
            <w:tcBorders>
              <w:top w:val="nil"/>
              <w:bottom w:val="single" w:sz="4" w:space="0" w:color="CFCFCF"/>
              <w:left w:val="nil"/>
              <w:right w:val="nil"/>
            </w:tcBorders>
            <w:vAlign w:val="top"/>
          </w:tcPr>
          <w:p>
            <w:pPr>
              <w:spacing w:before="80" w:after="80"/>
            </w:pPr>
            <w:r/>
            <w:r>
              <w:rPr>
                <w:rFonts w:ascii="Calibri" w:hAnsi="Calibri"/>
                <w:color w:val="0A0A0A"/>
                <w:sz w:val="17"/>
              </w:rPr>
              <w:t>Drop the anchor phrase as soon as the DMZ tier is drawn. Don't wait until the diagram is complete.</w:t>
            </w:r>
          </w:p>
        </w:tc>
      </w:tr>
    </w:tbl>
    <w:p>
      <w:r>
        <w:br w:type="page"/>
      </w:r>
    </w:p>
    <w:p>
      <w:pPr>
        <w:spacing w:before="160" w:after="40"/>
      </w:pPr>
      <w:r>
        <w:rPr>
          <w:rFonts w:ascii="Calibri" w:hAnsi="Calibri"/>
          <w:b/>
          <w:color w:val="C8102E"/>
          <w:sz w:val="18"/>
        </w:rPr>
        <w:t>DRAWING 2 — FERPA BOUNDARY BY ARCHITECTURE</w:t>
      </w:r>
    </w:p>
    <w:p>
      <w:pPr>
        <w:spacing w:before="40" w:after="80"/>
        <w:pBdr>
          <w:bottom w:val="single" w:sz="12" w:space="4" w:color="C8102E"/>
        </w:pBdr>
      </w:pPr>
      <w:r>
        <w:rPr>
          <w:rFonts w:ascii="Calibri" w:hAnsi="Calibri"/>
          <w:b/>
          <w:color w:val="0A0A0A"/>
          <w:sz w:val="34"/>
        </w:rPr>
        <w:t>Drawing 2 — FERPA boundary by architecture</w:t>
      </w:r>
    </w:p>
    <w:p>
      <w:pPr>
        <w:spacing w:after="160" w:line="276" w:lineRule="auto"/>
        <w:jc w:val="both"/>
      </w:pPr>
      <w:r>
        <w:rPr>
          <w:rFonts w:ascii="Calibri" w:hAnsi="Calibri"/>
          <w:b w:val="0"/>
          <w:i w:val="0"/>
          <w:color w:val="0A0A0A"/>
          <w:sz w:val="21"/>
        </w:rPr>
        <w:t>The FERPA boundary drawing is what Sri will photograph and carry into the next conversation. It is the architectural answer to the question 'does student data leave Lamar's environment?' — and the answer must be visibly, structurally no, demonstrated in the drawing, not asserted in prose.</w:t>
      </w:r>
    </w:p>
    <w:p>
      <w:pPr>
        <w:spacing w:before="80" w:after="80"/>
        <w:jc w:val="center"/>
      </w:pPr>
      <w:r>
        <w:drawing>
          <wp:inline xmlns:a="http://schemas.openxmlformats.org/drawingml/2006/main" xmlns:pic="http://schemas.openxmlformats.org/drawingml/2006/picture">
            <wp:extent cx="6126480" cy="4734098"/>
            <wp:docPr id="2" name="Picture 2"/>
            <wp:cNvGraphicFramePr>
              <a:graphicFrameLocks noChangeAspect="1"/>
            </wp:cNvGraphicFramePr>
            <a:graphic>
              <a:graphicData uri="http://schemas.openxmlformats.org/drawingml/2006/picture">
                <pic:pic>
                  <pic:nvPicPr>
                    <pic:cNvPr id="0" name="drawing-2.png"/>
                    <pic:cNvPicPr/>
                  </pic:nvPicPr>
                  <pic:blipFill>
                    <a:blip r:embed="rId12"/>
                    <a:stretch>
                      <a:fillRect/>
                    </a:stretch>
                  </pic:blipFill>
                  <pic:spPr>
                    <a:xfrm>
                      <a:off x="0" y="0"/>
                      <a:ext cx="6126480" cy="4734098"/>
                    </a:xfrm>
                    <a:prstGeom prst="rect"/>
                  </pic:spPr>
                </pic:pic>
              </a:graphicData>
            </a:graphic>
          </wp:inline>
        </w:drawing>
      </w:r>
    </w:p>
    <w:p>
      <w:pPr>
        <w:spacing w:before="160" w:after="200" w:line="300" w:lineRule="auto"/>
        <w:ind w:left="216" w:right="216"/>
        <w:pBdr>
          <w:left w:val="single" w:sz="32" w:space="8" w:color="C8102E"/>
        </w:pBdr>
        <w:shd w:val="clear" w:color="auto" w:fill="FBE7EA"/>
      </w:pPr>
      <w:r>
        <w:rPr>
          <w:rFonts w:ascii="Calibri" w:hAnsi="Calibri"/>
          <w:b/>
          <w:i w:val="0"/>
          <w:color w:val="0A0A0A"/>
          <w:sz w:val="21"/>
        </w:rPr>
        <w:t>Anchor phrase — say while drawing the pseudonymization layer:</w:t>
        <w:br/>
        <w:br/>
      </w:r>
      <w:r>
        <w:rPr>
          <w:rFonts w:ascii="Calibri" w:hAnsi="Calibri"/>
          <w:b/>
          <w:i/>
          <w:color w:val="0A0A0A"/>
          <w:sz w:val="21"/>
        </w:rPr>
        <w:t>“This is not a policy. This is architecture. The system cannot leak what it does not possess.”</w:t>
      </w:r>
    </w:p>
    <w:p>
      <w:pPr>
        <w:spacing w:before="280" w:after="80"/>
      </w:pPr>
      <w:r>
        <w:rPr>
          <w:rFonts w:ascii="Calibri" w:hAnsi="Calibri"/>
          <w:b/>
          <w:color w:val="C8102E"/>
          <w:sz w:val="24"/>
        </w:rPr>
        <w:t>How to reproduce on the whiteboard</w:t>
      </w:r>
    </w:p>
    <w:tbl>
      <w:tblPr>
        <w:tblW w:type="auto" w:w="0"/>
        <w:jc w:val="left"/>
        <w:tblLayout w:type="fixed"/>
        <w:tblLook w:firstColumn="1" w:firstRow="1" w:lastColumn="0" w:lastRow="0" w:noHBand="0" w:noVBand="1" w:val="04A0"/>
      </w:tblPr>
      <w:tblGrid>
        <w:gridCol w:w="4968"/>
        <w:gridCol w:w="4968"/>
      </w:tblGrid>
      <w:tr>
        <w:tc>
          <w:tcPr>
            <w:tcW w:type="dxa" w:w="720"/>
            <w:shd w:val="clear" w:color="auto" w:fill="C8102E"/>
            <w:tcBorders>
              <w:top w:val="single" w:sz="4" w:space="0" w:color="C8102E"/>
              <w:bottom w:val="single" w:sz="4" w:space="0" w:color="C8102E"/>
              <w:left w:val="single" w:sz="4" w:space="0" w:color="C8102E"/>
              <w:right w:val="single" w:sz="4" w:space="0" w:color="C8102E"/>
            </w:tcBorders>
            <w:vAlign w:val="top"/>
          </w:tcPr>
          <w:p>
            <w:r/>
            <w:r>
              <w:rPr>
                <w:rFonts w:ascii="Calibri" w:hAnsi="Calibri"/>
                <w:b/>
                <w:color w:val="FFFFFF"/>
                <w:sz w:val="18"/>
              </w:rPr>
              <w:t>STEP</w:t>
            </w:r>
          </w:p>
        </w:tc>
        <w:tc>
          <w:tcPr>
            <w:tcW w:type="dxa" w:w="8928"/>
            <w:shd w:val="clear" w:color="auto" w:fill="C8102E"/>
            <w:tcBorders>
              <w:top w:val="single" w:sz="4" w:space="0" w:color="C8102E"/>
              <w:bottom w:val="single" w:sz="4" w:space="0" w:color="C8102E"/>
              <w:left w:val="single" w:sz="4" w:space="0" w:color="C8102E"/>
              <w:right w:val="single" w:sz="4" w:space="0" w:color="C8102E"/>
            </w:tcBorders>
            <w:vAlign w:val="top"/>
          </w:tcPr>
          <w:p>
            <w:r/>
            <w:r>
              <w:rPr>
                <w:rFonts w:ascii="Calibri" w:hAnsi="Calibri"/>
                <w:b/>
                <w:color w:val="FFFFFF"/>
                <w:sz w:val="18"/>
              </w:rPr>
              <w:t>ACTION</w:t>
            </w:r>
          </w:p>
        </w:tc>
      </w:tr>
      <w:tr>
        <w:tc>
          <w:tcPr>
            <w:tcW w:type="dxa" w:w="720"/>
            <w:shd w:val="clear" w:color="auto" w:fill="FAFAFA"/>
            <w:tcBorders>
              <w:top w:val="nil"/>
              <w:bottom w:val="single" w:sz="4" w:space="0" w:color="CFCFCF"/>
              <w:left w:val="nil"/>
              <w:right w:val="nil"/>
            </w:tcBorders>
            <w:vAlign w:val="top"/>
          </w:tcPr>
          <w:p>
            <w:pPr>
              <w:spacing w:before="80" w:after="80"/>
            </w:pPr>
            <w:r/>
            <w:r>
              <w:rPr>
                <w:rFonts w:ascii="Calibri" w:hAnsi="Calibri"/>
                <w:color w:val="0A0A0A"/>
                <w:sz w:val="17"/>
              </w:rPr>
              <w:t>1</w:t>
            </w:r>
          </w:p>
        </w:tc>
        <w:tc>
          <w:tcPr>
            <w:tcW w:type="dxa" w:w="8928"/>
            <w:shd w:val="clear" w:color="auto" w:fill="FAFAFA"/>
            <w:tcBorders>
              <w:top w:val="nil"/>
              <w:bottom w:val="single" w:sz="4" w:space="0" w:color="CFCFCF"/>
              <w:left w:val="nil"/>
              <w:right w:val="nil"/>
            </w:tcBorders>
            <w:vAlign w:val="top"/>
          </w:tcPr>
          <w:p>
            <w:pPr>
              <w:spacing w:before="80" w:after="80"/>
            </w:pPr>
            <w:r/>
            <w:r>
              <w:rPr>
                <w:rFonts w:ascii="Calibri" w:hAnsi="Calibri"/>
                <w:color w:val="0A0A0A"/>
                <w:sz w:val="17"/>
              </w:rPr>
              <w:t>Draw the source systems on the far left as a stacked column: Banner (SIS), Blackboard (LMS), Concourse, Entra ID. Annotate as 'on-prem.'</w:t>
            </w:r>
          </w:p>
        </w:tc>
      </w:tr>
      <w:tr>
        <w:tc>
          <w:tcPr>
            <w:tcW w:type="dxa" w:w="720"/>
            <w:shd w:val="clear" w:color="auto" w:fill="FFFFFF"/>
            <w:tcBorders>
              <w:top w:val="nil"/>
              <w:bottom w:val="single" w:sz="4" w:space="0" w:color="CFCFCF"/>
              <w:left w:val="nil"/>
              <w:right w:val="nil"/>
            </w:tcBorders>
            <w:vAlign w:val="top"/>
          </w:tcPr>
          <w:p>
            <w:pPr>
              <w:spacing w:before="80" w:after="80"/>
            </w:pPr>
            <w:r/>
            <w:r>
              <w:rPr>
                <w:rFonts w:ascii="Calibri" w:hAnsi="Calibri"/>
                <w:color w:val="0A0A0A"/>
                <w:sz w:val="17"/>
              </w:rPr>
              <w:t>2</w:t>
            </w:r>
          </w:p>
        </w:tc>
        <w:tc>
          <w:tcPr>
            <w:tcW w:type="dxa" w:w="8928"/>
            <w:shd w:val="clear" w:color="auto" w:fill="FFFFFF"/>
            <w:tcBorders>
              <w:top w:val="nil"/>
              <w:bottom w:val="single" w:sz="4" w:space="0" w:color="CFCFCF"/>
              <w:left w:val="nil"/>
              <w:right w:val="nil"/>
            </w:tcBorders>
            <w:vAlign w:val="top"/>
          </w:tcPr>
          <w:p>
            <w:pPr>
              <w:spacing w:before="80" w:after="80"/>
            </w:pPr>
            <w:r/>
            <w:r>
              <w:rPr>
                <w:rFonts w:ascii="Calibri" w:hAnsi="Calibri"/>
                <w:color w:val="0A0A0A"/>
                <w:sz w:val="17"/>
              </w:rPr>
              <w:t>Draw a vertical bar to the right of the sources, labeled 'PSEUDONYMIZATION BOUNDARY' in cardinal red. Write the generation formula: SHA-256(real_id + deployment_secret + entity_type).</w:t>
            </w:r>
          </w:p>
        </w:tc>
      </w:tr>
      <w:tr>
        <w:tc>
          <w:tcPr>
            <w:tcW w:type="dxa" w:w="720"/>
            <w:shd w:val="clear" w:color="auto" w:fill="FAFAFA"/>
            <w:tcBorders>
              <w:top w:val="nil"/>
              <w:bottom w:val="single" w:sz="4" w:space="0" w:color="CFCFCF"/>
              <w:left w:val="nil"/>
              <w:right w:val="nil"/>
            </w:tcBorders>
            <w:vAlign w:val="top"/>
          </w:tcPr>
          <w:p>
            <w:pPr>
              <w:spacing w:before="80" w:after="80"/>
            </w:pPr>
            <w:r/>
            <w:r>
              <w:rPr>
                <w:rFonts w:ascii="Calibri" w:hAnsi="Calibri"/>
                <w:color w:val="0A0A0A"/>
                <w:sz w:val="17"/>
              </w:rPr>
              <w:t>3</w:t>
            </w:r>
          </w:p>
        </w:tc>
        <w:tc>
          <w:tcPr>
            <w:tcW w:type="dxa" w:w="8928"/>
            <w:shd w:val="clear" w:color="auto" w:fill="FAFAFA"/>
            <w:tcBorders>
              <w:top w:val="nil"/>
              <w:bottom w:val="single" w:sz="4" w:space="0" w:color="CFCFCF"/>
              <w:left w:val="nil"/>
              <w:right w:val="nil"/>
            </w:tcBorders>
            <w:vAlign w:val="top"/>
          </w:tcPr>
          <w:p>
            <w:pPr>
              <w:spacing w:before="80" w:after="80"/>
            </w:pPr>
            <w:r/>
            <w:r>
              <w:rPr>
                <w:rFonts w:ascii="Calibri" w:hAnsi="Calibri"/>
                <w:color w:val="0A0A0A"/>
                <w:sz w:val="17"/>
              </w:rPr>
              <w:t>Below the formula, note: 'Mapping table: Lamar Key Vault. Never crosses perimeter.'</w:t>
            </w:r>
          </w:p>
        </w:tc>
      </w:tr>
      <w:tr>
        <w:tc>
          <w:tcPr>
            <w:tcW w:type="dxa" w:w="720"/>
            <w:shd w:val="clear" w:color="auto" w:fill="FFFFFF"/>
            <w:tcBorders>
              <w:top w:val="nil"/>
              <w:bottom w:val="single" w:sz="4" w:space="0" w:color="CFCFCF"/>
              <w:left w:val="nil"/>
              <w:right w:val="nil"/>
            </w:tcBorders>
            <w:vAlign w:val="top"/>
          </w:tcPr>
          <w:p>
            <w:pPr>
              <w:spacing w:before="80" w:after="80"/>
            </w:pPr>
            <w:r/>
            <w:r>
              <w:rPr>
                <w:rFonts w:ascii="Calibri" w:hAnsi="Calibri"/>
                <w:color w:val="0A0A0A"/>
                <w:sz w:val="17"/>
              </w:rPr>
              <w:t>4</w:t>
            </w:r>
          </w:p>
        </w:tc>
        <w:tc>
          <w:tcPr>
            <w:tcW w:type="dxa" w:w="8928"/>
            <w:shd w:val="clear" w:color="auto" w:fill="FFFFFF"/>
            <w:tcBorders>
              <w:top w:val="nil"/>
              <w:bottom w:val="single" w:sz="4" w:space="0" w:color="CFCFCF"/>
              <w:left w:val="nil"/>
              <w:right w:val="nil"/>
            </w:tcBorders>
            <w:vAlign w:val="top"/>
          </w:tcPr>
          <w:p>
            <w:pPr>
              <w:spacing w:before="80" w:after="80"/>
            </w:pPr>
            <w:r/>
            <w:r>
              <w:rPr>
                <w:rFonts w:ascii="Calibri" w:hAnsi="Calibri"/>
                <w:color w:val="0A0A0A"/>
                <w:sz w:val="17"/>
              </w:rPr>
              <w:t>Draw an arrow leaving the boundary labeled with a sample SYN identifier. This signals what is on the right side of the boundary.</w:t>
            </w:r>
          </w:p>
        </w:tc>
      </w:tr>
      <w:tr>
        <w:tc>
          <w:tcPr>
            <w:tcW w:type="dxa" w:w="720"/>
            <w:shd w:val="clear" w:color="auto" w:fill="FAFAFA"/>
            <w:tcBorders>
              <w:top w:val="nil"/>
              <w:bottom w:val="single" w:sz="4" w:space="0" w:color="CFCFCF"/>
              <w:left w:val="nil"/>
              <w:right w:val="nil"/>
            </w:tcBorders>
            <w:vAlign w:val="top"/>
          </w:tcPr>
          <w:p>
            <w:pPr>
              <w:spacing w:before="80" w:after="80"/>
            </w:pPr>
            <w:r/>
            <w:r>
              <w:rPr>
                <w:rFonts w:ascii="Calibri" w:hAnsi="Calibri"/>
                <w:color w:val="0A0A0A"/>
                <w:sz w:val="17"/>
              </w:rPr>
              <w:t>5</w:t>
            </w:r>
          </w:p>
        </w:tc>
        <w:tc>
          <w:tcPr>
            <w:tcW w:type="dxa" w:w="8928"/>
            <w:shd w:val="clear" w:color="auto" w:fill="FAFAFA"/>
            <w:tcBorders>
              <w:top w:val="nil"/>
              <w:bottom w:val="single" w:sz="4" w:space="0" w:color="CFCFCF"/>
              <w:left w:val="nil"/>
              <w:right w:val="nil"/>
            </w:tcBorders>
            <w:vAlign w:val="top"/>
          </w:tcPr>
          <w:p>
            <w:pPr>
              <w:spacing w:before="80" w:after="80"/>
            </w:pPr>
            <w:r/>
            <w:r>
              <w:rPr>
                <w:rFonts w:ascii="Calibri" w:hAnsi="Calibri"/>
                <w:color w:val="0A0A0A"/>
                <w:sz w:val="17"/>
              </w:rPr>
              <w:t>Draw the PDP box (Gate-530) and write all six gates explicitly: 410 ontology, 420 jurisdiction, 430 agency, 440 regulation, 450 obligation, 530 policy. Sri counts them — write all six.</w:t>
            </w:r>
          </w:p>
        </w:tc>
      </w:tr>
      <w:tr>
        <w:tc>
          <w:tcPr>
            <w:tcW w:type="dxa" w:w="720"/>
            <w:shd w:val="clear" w:color="auto" w:fill="FFFFFF"/>
            <w:tcBorders>
              <w:top w:val="nil"/>
              <w:bottom w:val="single" w:sz="4" w:space="0" w:color="CFCFCF"/>
              <w:left w:val="nil"/>
              <w:right w:val="nil"/>
            </w:tcBorders>
            <w:vAlign w:val="top"/>
          </w:tcPr>
          <w:p>
            <w:pPr>
              <w:spacing w:before="80" w:after="80"/>
            </w:pPr>
            <w:r/>
            <w:r>
              <w:rPr>
                <w:rFonts w:ascii="Calibri" w:hAnsi="Calibri"/>
                <w:color w:val="0A0A0A"/>
                <w:sz w:val="17"/>
              </w:rPr>
              <w:t>6</w:t>
            </w:r>
          </w:p>
        </w:tc>
        <w:tc>
          <w:tcPr>
            <w:tcW w:type="dxa" w:w="8928"/>
            <w:shd w:val="clear" w:color="auto" w:fill="FFFFFF"/>
            <w:tcBorders>
              <w:top w:val="nil"/>
              <w:bottom w:val="single" w:sz="4" w:space="0" w:color="CFCFCF"/>
              <w:left w:val="nil"/>
              <w:right w:val="nil"/>
            </w:tcBorders>
            <w:vAlign w:val="top"/>
          </w:tcPr>
          <w:p>
            <w:pPr>
              <w:spacing w:before="80" w:after="80"/>
            </w:pPr>
            <w:r/>
            <w:r>
              <w:rPr>
                <w:rFonts w:ascii="Calibri" w:hAnsi="Calibri"/>
                <w:color w:val="0A0A0A"/>
                <w:sz w:val="17"/>
              </w:rPr>
              <w:t>Branch the PDP output: up-arrow to Tier 2 Surface (advisor / dean view, pseudonymized only, k≥5 aggregate); down-arrow to Tier 1 Surface (compliance officer, de-pseudonymization permitted).</w:t>
            </w:r>
          </w:p>
        </w:tc>
      </w:tr>
      <w:tr>
        <w:tc>
          <w:tcPr>
            <w:tcW w:type="dxa" w:w="720"/>
            <w:shd w:val="clear" w:color="auto" w:fill="FAFAFA"/>
            <w:tcBorders>
              <w:top w:val="nil"/>
              <w:bottom w:val="single" w:sz="4" w:space="0" w:color="CFCFCF"/>
              <w:left w:val="nil"/>
              <w:right w:val="nil"/>
            </w:tcBorders>
            <w:vAlign w:val="top"/>
          </w:tcPr>
          <w:p>
            <w:pPr>
              <w:spacing w:before="80" w:after="80"/>
            </w:pPr>
            <w:r/>
            <w:r>
              <w:rPr>
                <w:rFonts w:ascii="Calibri" w:hAnsi="Calibri"/>
                <w:color w:val="0A0A0A"/>
                <w:sz w:val="17"/>
              </w:rPr>
              <w:t>7</w:t>
            </w:r>
          </w:p>
        </w:tc>
        <w:tc>
          <w:tcPr>
            <w:tcW w:type="dxa" w:w="8928"/>
            <w:shd w:val="clear" w:color="auto" w:fill="FAFAFA"/>
            <w:tcBorders>
              <w:top w:val="nil"/>
              <w:bottom w:val="single" w:sz="4" w:space="0" w:color="CFCFCF"/>
              <w:left w:val="nil"/>
              <w:right w:val="nil"/>
            </w:tcBorders>
            <w:vAlign w:val="top"/>
          </w:tcPr>
          <w:p>
            <w:pPr>
              <w:spacing w:before="80" w:after="80"/>
            </w:pPr>
            <w:r/>
            <w:r>
              <w:rPr>
                <w:rFonts w:ascii="Calibri" w:hAnsi="Calibri"/>
                <w:color w:val="0A0A0A"/>
                <w:sz w:val="17"/>
              </w:rPr>
              <w:t>Annotate the down-arrow with: 'Writes DEPSEUDO_ACCESS event — timestamp, operator, justification.' This is the audit primitive Sri will probe.</w:t>
            </w:r>
          </w:p>
        </w:tc>
      </w:tr>
      <w:tr>
        <w:tc>
          <w:tcPr>
            <w:tcW w:type="dxa" w:w="720"/>
            <w:shd w:val="clear" w:color="auto" w:fill="FFFFFF"/>
            <w:tcBorders>
              <w:top w:val="nil"/>
              <w:bottom w:val="single" w:sz="4" w:space="0" w:color="CFCFCF"/>
              <w:left w:val="nil"/>
              <w:right w:val="nil"/>
            </w:tcBorders>
            <w:vAlign w:val="top"/>
          </w:tcPr>
          <w:p>
            <w:pPr>
              <w:spacing w:before="80" w:after="80"/>
            </w:pPr>
            <w:r/>
            <w:r>
              <w:rPr>
                <w:rFonts w:ascii="Calibri" w:hAnsi="Calibri"/>
                <w:color w:val="0A0A0A"/>
                <w:sz w:val="17"/>
              </w:rPr>
              <w:t>8</w:t>
            </w:r>
          </w:p>
        </w:tc>
        <w:tc>
          <w:tcPr>
            <w:tcW w:type="dxa" w:w="8928"/>
            <w:shd w:val="clear" w:color="auto" w:fill="FFFFFF"/>
            <w:tcBorders>
              <w:top w:val="nil"/>
              <w:bottom w:val="single" w:sz="4" w:space="0" w:color="CFCFCF"/>
              <w:left w:val="nil"/>
              <w:right w:val="nil"/>
            </w:tcBorders>
            <w:vAlign w:val="top"/>
          </w:tcPr>
          <w:p>
            <w:pPr>
              <w:spacing w:before="80" w:after="80"/>
            </w:pPr>
            <w:r/>
            <w:r>
              <w:rPr>
                <w:rFonts w:ascii="Calibri" w:hAnsi="Calibri"/>
                <w:color w:val="0A0A0A"/>
                <w:sz w:val="17"/>
              </w:rPr>
              <w:t>Below the diagram, write the boundary invariant: 'Real student identifiers exist only to the LEFT of pseudonymization. The mapping table is on-prem, encrypted, and never traverses the boundary.'</w:t>
            </w:r>
          </w:p>
        </w:tc>
      </w:tr>
      <w:tr>
        <w:tc>
          <w:tcPr>
            <w:tcW w:type="dxa" w:w="720"/>
            <w:shd w:val="clear" w:color="auto" w:fill="FAFAFA"/>
            <w:tcBorders>
              <w:top w:val="nil"/>
              <w:bottom w:val="single" w:sz="4" w:space="0" w:color="CFCFCF"/>
              <w:left w:val="nil"/>
              <w:right w:val="nil"/>
            </w:tcBorders>
            <w:vAlign w:val="top"/>
          </w:tcPr>
          <w:p>
            <w:pPr>
              <w:spacing w:before="80" w:after="80"/>
            </w:pPr>
            <w:r/>
            <w:r>
              <w:rPr>
                <w:rFonts w:ascii="Calibri" w:hAnsi="Calibri"/>
                <w:color w:val="0A0A0A"/>
                <w:sz w:val="17"/>
              </w:rPr>
              <w:t>9</w:t>
            </w:r>
          </w:p>
        </w:tc>
        <w:tc>
          <w:tcPr>
            <w:tcW w:type="dxa" w:w="8928"/>
            <w:shd w:val="clear" w:color="auto" w:fill="FAFAFA"/>
            <w:tcBorders>
              <w:top w:val="nil"/>
              <w:bottom w:val="single" w:sz="4" w:space="0" w:color="CFCFCF"/>
              <w:left w:val="nil"/>
              <w:right w:val="nil"/>
            </w:tcBorders>
            <w:vAlign w:val="top"/>
          </w:tcPr>
          <w:p>
            <w:pPr>
              <w:spacing w:before="80" w:after="80"/>
            </w:pPr>
            <w:r/>
            <w:r>
              <w:rPr>
                <w:rFonts w:ascii="Calibri" w:hAnsi="Calibri"/>
                <w:color w:val="0A0A0A"/>
                <w:sz w:val="17"/>
              </w:rPr>
              <w:t>Drop the anchor phrase as soon as the pseudonymization boundary is drawn — before completing the PDP and surfaces.</w:t>
            </w:r>
          </w:p>
        </w:tc>
      </w:tr>
    </w:tbl>
    <w:p>
      <w:r>
        <w:br w:type="page"/>
      </w:r>
    </w:p>
    <w:p>
      <w:pPr>
        <w:spacing w:before="160" w:after="40"/>
      </w:pPr>
      <w:r>
        <w:rPr>
          <w:rFonts w:ascii="Calibri" w:hAnsi="Calibri"/>
          <w:b/>
          <w:color w:val="C8102E"/>
          <w:sz w:val="18"/>
        </w:rPr>
        <w:t>DRAWING 3 — SIGNED-BUNDLE PIPELINE</w:t>
      </w:r>
    </w:p>
    <w:p>
      <w:pPr>
        <w:spacing w:before="40" w:after="80"/>
        <w:pBdr>
          <w:bottom w:val="single" w:sz="12" w:space="4" w:color="C8102E"/>
        </w:pBdr>
      </w:pPr>
      <w:r>
        <w:rPr>
          <w:rFonts w:ascii="Calibri" w:hAnsi="Calibri"/>
          <w:b/>
          <w:color w:val="0A0A0A"/>
          <w:sz w:val="34"/>
        </w:rPr>
        <w:t>Drawing 3 — Signed-bundle pipeline</w:t>
      </w:r>
    </w:p>
    <w:p>
      <w:pPr>
        <w:spacing w:after="160" w:line="276" w:lineRule="auto"/>
        <w:jc w:val="both"/>
      </w:pPr>
      <w:r>
        <w:rPr>
          <w:rFonts w:ascii="Calibri" w:hAnsi="Calibri"/>
          <w:b w:val="0"/>
          <w:i w:val="0"/>
          <w:color w:val="0A0A0A"/>
          <w:sz w:val="21"/>
        </w:rPr>
        <w:t>The signed-bundle drawing demonstrates how regulatory updates and policy changes enter the on-prem system without compromising the air-gap posture. It is the architectural answer to 'how do you keep the system current without opening a back door?'</w:t>
      </w:r>
    </w:p>
    <w:p>
      <w:pPr>
        <w:spacing w:before="80" w:after="80"/>
        <w:jc w:val="center"/>
      </w:pPr>
      <w:r>
        <w:drawing>
          <wp:inline xmlns:a="http://schemas.openxmlformats.org/drawingml/2006/main" xmlns:pic="http://schemas.openxmlformats.org/drawingml/2006/picture">
            <wp:extent cx="6126480" cy="4734098"/>
            <wp:docPr id="3" name="Picture 3"/>
            <wp:cNvGraphicFramePr>
              <a:graphicFrameLocks noChangeAspect="1"/>
            </wp:cNvGraphicFramePr>
            <a:graphic>
              <a:graphicData uri="http://schemas.openxmlformats.org/drawingml/2006/picture">
                <pic:pic>
                  <pic:nvPicPr>
                    <pic:cNvPr id="0" name="drawing-3.png"/>
                    <pic:cNvPicPr/>
                  </pic:nvPicPr>
                  <pic:blipFill>
                    <a:blip r:embed="rId13"/>
                    <a:stretch>
                      <a:fillRect/>
                    </a:stretch>
                  </pic:blipFill>
                  <pic:spPr>
                    <a:xfrm>
                      <a:off x="0" y="0"/>
                      <a:ext cx="6126480" cy="4734098"/>
                    </a:xfrm>
                    <a:prstGeom prst="rect"/>
                  </pic:spPr>
                </pic:pic>
              </a:graphicData>
            </a:graphic>
          </wp:inline>
        </w:drawing>
      </w:r>
    </w:p>
    <w:p>
      <w:pPr>
        <w:spacing w:before="160" w:after="200" w:line="300" w:lineRule="auto"/>
        <w:ind w:left="216" w:right="216"/>
        <w:pBdr>
          <w:left w:val="single" w:sz="32" w:space="8" w:color="C8102E"/>
        </w:pBdr>
        <w:shd w:val="clear" w:color="auto" w:fill="FBE7EA"/>
      </w:pPr>
      <w:r>
        <w:rPr>
          <w:rFonts w:ascii="Calibri" w:hAnsi="Calibri"/>
          <w:b/>
          <w:i w:val="0"/>
          <w:color w:val="0A0A0A"/>
          <w:sz w:val="21"/>
        </w:rPr>
        <w:t>Anchor phrase — say while drawing the compliance-officer gate:</w:t>
        <w:br/>
        <w:br/>
      </w:r>
      <w:r>
        <w:rPr>
          <w:rFonts w:ascii="Calibri" w:hAnsi="Calibri"/>
          <w:b/>
          <w:i/>
          <w:color w:val="0A0A0A"/>
          <w:sz w:val="21"/>
        </w:rPr>
        <w:t>“Your Compliance Officer approves every change. Nothing deploys automatically. The bundle is signed, the approval is signed, the deploy is logged. Three signatures before anything changes.”</w:t>
      </w:r>
    </w:p>
    <w:p>
      <w:pPr>
        <w:spacing w:before="280" w:after="80"/>
      </w:pPr>
      <w:r>
        <w:rPr>
          <w:rFonts w:ascii="Calibri" w:hAnsi="Calibri"/>
          <w:b/>
          <w:color w:val="C8102E"/>
          <w:sz w:val="24"/>
        </w:rPr>
        <w:t>How to reproduce on the whiteboard</w:t>
      </w:r>
    </w:p>
    <w:tbl>
      <w:tblPr>
        <w:tblW w:type="auto" w:w="0"/>
        <w:jc w:val="left"/>
        <w:tblLayout w:type="fixed"/>
        <w:tblLook w:firstColumn="1" w:firstRow="1" w:lastColumn="0" w:lastRow="0" w:noHBand="0" w:noVBand="1" w:val="04A0"/>
      </w:tblPr>
      <w:tblGrid>
        <w:gridCol w:w="4968"/>
        <w:gridCol w:w="4968"/>
      </w:tblGrid>
      <w:tr>
        <w:tc>
          <w:tcPr>
            <w:tcW w:type="dxa" w:w="720"/>
            <w:shd w:val="clear" w:color="auto" w:fill="C8102E"/>
            <w:tcBorders>
              <w:top w:val="single" w:sz="4" w:space="0" w:color="C8102E"/>
              <w:bottom w:val="single" w:sz="4" w:space="0" w:color="C8102E"/>
              <w:left w:val="single" w:sz="4" w:space="0" w:color="C8102E"/>
              <w:right w:val="single" w:sz="4" w:space="0" w:color="C8102E"/>
            </w:tcBorders>
            <w:vAlign w:val="top"/>
          </w:tcPr>
          <w:p>
            <w:r/>
            <w:r>
              <w:rPr>
                <w:rFonts w:ascii="Calibri" w:hAnsi="Calibri"/>
                <w:b/>
                <w:color w:val="FFFFFF"/>
                <w:sz w:val="18"/>
              </w:rPr>
              <w:t>STEP</w:t>
            </w:r>
          </w:p>
        </w:tc>
        <w:tc>
          <w:tcPr>
            <w:tcW w:type="dxa" w:w="8928"/>
            <w:shd w:val="clear" w:color="auto" w:fill="C8102E"/>
            <w:tcBorders>
              <w:top w:val="single" w:sz="4" w:space="0" w:color="C8102E"/>
              <w:bottom w:val="single" w:sz="4" w:space="0" w:color="C8102E"/>
              <w:left w:val="single" w:sz="4" w:space="0" w:color="C8102E"/>
              <w:right w:val="single" w:sz="4" w:space="0" w:color="C8102E"/>
            </w:tcBorders>
            <w:vAlign w:val="top"/>
          </w:tcPr>
          <w:p>
            <w:r/>
            <w:r>
              <w:rPr>
                <w:rFonts w:ascii="Calibri" w:hAnsi="Calibri"/>
                <w:b/>
                <w:color w:val="FFFFFF"/>
                <w:sz w:val="18"/>
              </w:rPr>
              <w:t>ACTION</w:t>
            </w:r>
          </w:p>
        </w:tc>
      </w:tr>
      <w:tr>
        <w:tc>
          <w:tcPr>
            <w:tcW w:type="dxa" w:w="720"/>
            <w:shd w:val="clear" w:color="auto" w:fill="FAFAFA"/>
            <w:tcBorders>
              <w:top w:val="nil"/>
              <w:bottom w:val="single" w:sz="4" w:space="0" w:color="CFCFCF"/>
              <w:left w:val="nil"/>
              <w:right w:val="nil"/>
            </w:tcBorders>
            <w:vAlign w:val="top"/>
          </w:tcPr>
          <w:p>
            <w:pPr>
              <w:spacing w:before="80" w:after="80"/>
            </w:pPr>
            <w:r/>
            <w:r>
              <w:rPr>
                <w:rFonts w:ascii="Calibri" w:hAnsi="Calibri"/>
                <w:color w:val="0A0A0A"/>
                <w:sz w:val="17"/>
              </w:rPr>
              <w:t>1</w:t>
            </w:r>
          </w:p>
        </w:tc>
        <w:tc>
          <w:tcPr>
            <w:tcW w:type="dxa" w:w="8928"/>
            <w:shd w:val="clear" w:color="auto" w:fill="FAFAFA"/>
            <w:tcBorders>
              <w:top w:val="nil"/>
              <w:bottom w:val="single" w:sz="4" w:space="0" w:color="CFCFCF"/>
              <w:left w:val="nil"/>
              <w:right w:val="nil"/>
            </w:tcBorders>
            <w:vAlign w:val="top"/>
          </w:tcPr>
          <w:p>
            <w:pPr>
              <w:spacing w:before="80" w:after="80"/>
            </w:pPr>
            <w:r/>
            <w:r>
              <w:rPr>
                <w:rFonts w:ascii="Calibri" w:hAnsi="Calibri"/>
                <w:color w:val="0A0A0A"/>
                <w:sz w:val="17"/>
              </w:rPr>
              <w:t>Draw a dashed rectangle across the top of the board labeled 'CLOUD WATCH (reads PUBLIC sources only — no institutional data outbound).'</w:t>
            </w:r>
          </w:p>
        </w:tc>
      </w:tr>
      <w:tr>
        <w:tc>
          <w:tcPr>
            <w:tcW w:type="dxa" w:w="720"/>
            <w:shd w:val="clear" w:color="auto" w:fill="FFFFFF"/>
            <w:tcBorders>
              <w:top w:val="nil"/>
              <w:bottom w:val="single" w:sz="4" w:space="0" w:color="CFCFCF"/>
              <w:left w:val="nil"/>
              <w:right w:val="nil"/>
            </w:tcBorders>
            <w:vAlign w:val="top"/>
          </w:tcPr>
          <w:p>
            <w:pPr>
              <w:spacing w:before="80" w:after="80"/>
            </w:pPr>
            <w:r/>
            <w:r>
              <w:rPr>
                <w:rFonts w:ascii="Calibri" w:hAnsi="Calibri"/>
                <w:color w:val="0A0A0A"/>
                <w:sz w:val="17"/>
              </w:rPr>
              <w:t>2</w:t>
            </w:r>
          </w:p>
        </w:tc>
        <w:tc>
          <w:tcPr>
            <w:tcW w:type="dxa" w:w="8928"/>
            <w:shd w:val="clear" w:color="auto" w:fill="FFFFFF"/>
            <w:tcBorders>
              <w:top w:val="nil"/>
              <w:bottom w:val="single" w:sz="4" w:space="0" w:color="CFCFCF"/>
              <w:left w:val="nil"/>
              <w:right w:val="nil"/>
            </w:tcBorders>
            <w:vAlign w:val="top"/>
          </w:tcPr>
          <w:p>
            <w:pPr>
              <w:spacing w:before="80" w:after="80"/>
            </w:pPr>
            <w:r/>
            <w:r>
              <w:rPr>
                <w:rFonts w:ascii="Calibri" w:hAnsi="Calibri"/>
                <w:color w:val="0A0A0A"/>
                <w:sz w:val="17"/>
              </w:rPr>
              <w:t>Inside the cloud zone, draw three boxes left to right: Public Regulatory Sources (tbontexas.gov, acenursing.org, ashacaa.org, ed.gov, thecb.state.tx.us, sacscoc.org); Firecrawl Watch; Impact Analysis.</w:t>
            </w:r>
          </w:p>
        </w:tc>
      </w:tr>
      <w:tr>
        <w:tc>
          <w:tcPr>
            <w:tcW w:type="dxa" w:w="720"/>
            <w:shd w:val="clear" w:color="auto" w:fill="FAFAFA"/>
            <w:tcBorders>
              <w:top w:val="nil"/>
              <w:bottom w:val="single" w:sz="4" w:space="0" w:color="CFCFCF"/>
              <w:left w:val="nil"/>
              <w:right w:val="nil"/>
            </w:tcBorders>
            <w:vAlign w:val="top"/>
          </w:tcPr>
          <w:p>
            <w:pPr>
              <w:spacing w:before="80" w:after="80"/>
            </w:pPr>
            <w:r/>
            <w:r>
              <w:rPr>
                <w:rFonts w:ascii="Calibri" w:hAnsi="Calibri"/>
                <w:color w:val="0A0A0A"/>
                <w:sz w:val="17"/>
              </w:rPr>
              <w:t>3</w:t>
            </w:r>
          </w:p>
        </w:tc>
        <w:tc>
          <w:tcPr>
            <w:tcW w:type="dxa" w:w="8928"/>
            <w:shd w:val="clear" w:color="auto" w:fill="FAFAFA"/>
            <w:tcBorders>
              <w:top w:val="nil"/>
              <w:bottom w:val="single" w:sz="4" w:space="0" w:color="CFCFCF"/>
              <w:left w:val="nil"/>
              <w:right w:val="nil"/>
            </w:tcBorders>
            <w:vAlign w:val="top"/>
          </w:tcPr>
          <w:p>
            <w:pPr>
              <w:spacing w:before="80" w:after="80"/>
            </w:pPr>
            <w:r/>
            <w:r>
              <w:rPr>
                <w:rFonts w:ascii="Calibri" w:hAnsi="Calibri"/>
                <w:color w:val="0A0A0A"/>
                <w:sz w:val="17"/>
              </w:rPr>
              <w:t>Under Impact Analysis, write the pilot-vs-production distinction: 'Pilot: manual SQL review by compliance officer. Production (Phase 4): Claude MCP impact classifier, human gate retained.'</w:t>
            </w:r>
          </w:p>
        </w:tc>
      </w:tr>
      <w:tr>
        <w:tc>
          <w:tcPr>
            <w:tcW w:type="dxa" w:w="720"/>
            <w:shd w:val="clear" w:color="auto" w:fill="FFFFFF"/>
            <w:tcBorders>
              <w:top w:val="nil"/>
              <w:bottom w:val="single" w:sz="4" w:space="0" w:color="CFCFCF"/>
              <w:left w:val="nil"/>
              <w:right w:val="nil"/>
            </w:tcBorders>
            <w:vAlign w:val="top"/>
          </w:tcPr>
          <w:p>
            <w:pPr>
              <w:spacing w:before="80" w:after="80"/>
            </w:pPr>
            <w:r/>
            <w:r>
              <w:rPr>
                <w:rFonts w:ascii="Calibri" w:hAnsi="Calibri"/>
                <w:color w:val="0A0A0A"/>
                <w:sz w:val="17"/>
              </w:rPr>
              <w:t>4</w:t>
            </w:r>
          </w:p>
        </w:tc>
        <w:tc>
          <w:tcPr>
            <w:tcW w:type="dxa" w:w="8928"/>
            <w:shd w:val="clear" w:color="auto" w:fill="FFFFFF"/>
            <w:tcBorders>
              <w:top w:val="nil"/>
              <w:bottom w:val="single" w:sz="4" w:space="0" w:color="CFCFCF"/>
              <w:left w:val="nil"/>
              <w:right w:val="nil"/>
            </w:tcBorders>
            <w:vAlign w:val="top"/>
          </w:tcPr>
          <w:p>
            <w:pPr>
              <w:spacing w:before="80" w:after="80"/>
            </w:pPr>
            <w:r/>
            <w:r>
              <w:rPr>
                <w:rFonts w:ascii="Calibri" w:hAnsi="Calibri"/>
                <w:color w:val="0A0A0A"/>
                <w:sz w:val="17"/>
              </w:rPr>
              <w:t>Draw a downward arrow from Impact Analysis to a purple-outlined box in the middle of the board labeled 'PROPOSED UPDATE BUNDLE — ontology deltas, regulation diffs, impact map attached.'</w:t>
            </w:r>
          </w:p>
        </w:tc>
      </w:tr>
      <w:tr>
        <w:tc>
          <w:tcPr>
            <w:tcW w:type="dxa" w:w="720"/>
            <w:shd w:val="clear" w:color="auto" w:fill="FAFAFA"/>
            <w:tcBorders>
              <w:top w:val="nil"/>
              <w:bottom w:val="single" w:sz="4" w:space="0" w:color="CFCFCF"/>
              <w:left w:val="nil"/>
              <w:right w:val="nil"/>
            </w:tcBorders>
            <w:vAlign w:val="top"/>
          </w:tcPr>
          <w:p>
            <w:pPr>
              <w:spacing w:before="80" w:after="80"/>
            </w:pPr>
            <w:r/>
            <w:r>
              <w:rPr>
                <w:rFonts w:ascii="Calibri" w:hAnsi="Calibri"/>
                <w:color w:val="0A0A0A"/>
                <w:sz w:val="17"/>
              </w:rPr>
              <w:t>5</w:t>
            </w:r>
          </w:p>
        </w:tc>
        <w:tc>
          <w:tcPr>
            <w:tcW w:type="dxa" w:w="8928"/>
            <w:shd w:val="clear" w:color="auto" w:fill="FAFAFA"/>
            <w:tcBorders>
              <w:top w:val="nil"/>
              <w:bottom w:val="single" w:sz="4" w:space="0" w:color="CFCFCF"/>
              <w:left w:val="nil"/>
              <w:right w:val="nil"/>
            </w:tcBorders>
            <w:vAlign w:val="top"/>
          </w:tcPr>
          <w:p>
            <w:pPr>
              <w:spacing w:before="80" w:after="80"/>
            </w:pPr>
            <w:r/>
            <w:r>
              <w:rPr>
                <w:rFonts w:ascii="Calibri" w:hAnsi="Calibri"/>
                <w:color w:val="0A0A0A"/>
                <w:sz w:val="17"/>
              </w:rPr>
              <w:t>Below the bundle, draw a second dashed rectangle labeled 'LAMAR ON-PREM.' This is the on-prem zone.</w:t>
            </w:r>
          </w:p>
        </w:tc>
      </w:tr>
      <w:tr>
        <w:tc>
          <w:tcPr>
            <w:tcW w:type="dxa" w:w="720"/>
            <w:shd w:val="clear" w:color="auto" w:fill="FFFFFF"/>
            <w:tcBorders>
              <w:top w:val="nil"/>
              <w:bottom w:val="single" w:sz="4" w:space="0" w:color="CFCFCF"/>
              <w:left w:val="nil"/>
              <w:right w:val="nil"/>
            </w:tcBorders>
            <w:vAlign w:val="top"/>
          </w:tcPr>
          <w:p>
            <w:pPr>
              <w:spacing w:before="80" w:after="80"/>
            </w:pPr>
            <w:r/>
            <w:r>
              <w:rPr>
                <w:rFonts w:ascii="Calibri" w:hAnsi="Calibri"/>
                <w:color w:val="0A0A0A"/>
                <w:sz w:val="17"/>
              </w:rPr>
              <w:t>6</w:t>
            </w:r>
          </w:p>
        </w:tc>
        <w:tc>
          <w:tcPr>
            <w:tcW w:type="dxa" w:w="8928"/>
            <w:shd w:val="clear" w:color="auto" w:fill="FFFFFF"/>
            <w:tcBorders>
              <w:top w:val="nil"/>
              <w:bottom w:val="single" w:sz="4" w:space="0" w:color="CFCFCF"/>
              <w:left w:val="nil"/>
              <w:right w:val="nil"/>
            </w:tcBorders>
            <w:vAlign w:val="top"/>
          </w:tcPr>
          <w:p>
            <w:pPr>
              <w:spacing w:before="80" w:after="80"/>
            </w:pPr>
            <w:r/>
            <w:r>
              <w:rPr>
                <w:rFonts w:ascii="Calibri" w:hAnsi="Calibri"/>
                <w:color w:val="0A0A0A"/>
                <w:sz w:val="17"/>
              </w:rPr>
              <w:t>Inside the on-prem zone, draw the Compliance Officer Gate in the center, in cardinal. Annotate: 'APPROVE → sign. REJECT → logged.'</w:t>
            </w:r>
          </w:p>
        </w:tc>
      </w:tr>
      <w:tr>
        <w:tc>
          <w:tcPr>
            <w:tcW w:type="dxa" w:w="720"/>
            <w:shd w:val="clear" w:color="auto" w:fill="FAFAFA"/>
            <w:tcBorders>
              <w:top w:val="nil"/>
              <w:bottom w:val="single" w:sz="4" w:space="0" w:color="CFCFCF"/>
              <w:left w:val="nil"/>
              <w:right w:val="nil"/>
            </w:tcBorders>
            <w:vAlign w:val="top"/>
          </w:tcPr>
          <w:p>
            <w:pPr>
              <w:spacing w:before="80" w:after="80"/>
            </w:pPr>
            <w:r/>
            <w:r>
              <w:rPr>
                <w:rFonts w:ascii="Calibri" w:hAnsi="Calibri"/>
                <w:color w:val="0A0A0A"/>
                <w:sz w:val="17"/>
              </w:rPr>
              <w:t>7</w:t>
            </w:r>
          </w:p>
        </w:tc>
        <w:tc>
          <w:tcPr>
            <w:tcW w:type="dxa" w:w="8928"/>
            <w:shd w:val="clear" w:color="auto" w:fill="FAFAFA"/>
            <w:tcBorders>
              <w:top w:val="nil"/>
              <w:bottom w:val="single" w:sz="4" w:space="0" w:color="CFCFCF"/>
              <w:left w:val="nil"/>
              <w:right w:val="nil"/>
            </w:tcBorders>
            <w:vAlign w:val="top"/>
          </w:tcPr>
          <w:p>
            <w:pPr>
              <w:spacing w:before="80" w:after="80"/>
            </w:pPr>
            <w:r/>
            <w:r>
              <w:rPr>
                <w:rFonts w:ascii="Calibri" w:hAnsi="Calibri"/>
                <w:color w:val="0A0A0A"/>
                <w:sz w:val="17"/>
              </w:rPr>
              <w:t>To the left of the gate, draw the SIGN box (gold). Annotate: 'Ed25519 signature, SHA-256 content hash, approver identity bound to bundle.'</w:t>
            </w:r>
          </w:p>
        </w:tc>
      </w:tr>
      <w:tr>
        <w:tc>
          <w:tcPr>
            <w:tcW w:type="dxa" w:w="720"/>
            <w:shd w:val="clear" w:color="auto" w:fill="FFFFFF"/>
            <w:tcBorders>
              <w:top w:val="nil"/>
              <w:bottom w:val="single" w:sz="4" w:space="0" w:color="CFCFCF"/>
              <w:left w:val="nil"/>
              <w:right w:val="nil"/>
            </w:tcBorders>
            <w:vAlign w:val="top"/>
          </w:tcPr>
          <w:p>
            <w:pPr>
              <w:spacing w:before="80" w:after="80"/>
            </w:pPr>
            <w:r/>
            <w:r>
              <w:rPr>
                <w:rFonts w:ascii="Calibri" w:hAnsi="Calibri"/>
                <w:color w:val="0A0A0A"/>
                <w:sz w:val="17"/>
              </w:rPr>
              <w:t>8</w:t>
            </w:r>
          </w:p>
        </w:tc>
        <w:tc>
          <w:tcPr>
            <w:tcW w:type="dxa" w:w="8928"/>
            <w:shd w:val="clear" w:color="auto" w:fill="FFFFFF"/>
            <w:tcBorders>
              <w:top w:val="nil"/>
              <w:bottom w:val="single" w:sz="4" w:space="0" w:color="CFCFCF"/>
              <w:left w:val="nil"/>
              <w:right w:val="nil"/>
            </w:tcBorders>
            <w:vAlign w:val="top"/>
          </w:tcPr>
          <w:p>
            <w:pPr>
              <w:spacing w:before="80" w:after="80"/>
            </w:pPr>
            <w:r/>
            <w:r>
              <w:rPr>
                <w:rFonts w:ascii="Calibri" w:hAnsi="Calibri"/>
                <w:color w:val="0A0A0A"/>
                <w:sz w:val="17"/>
              </w:rPr>
              <w:t>To the right of the gate, draw the ON-PREM IMPORT box (green). Annotate: 'Single transaction, lands on Trace chain, bundle hash + approver + timestamp recorded. Replayable, reversible.'</w:t>
            </w:r>
          </w:p>
        </w:tc>
      </w:tr>
      <w:tr>
        <w:tc>
          <w:tcPr>
            <w:tcW w:type="dxa" w:w="720"/>
            <w:shd w:val="clear" w:color="auto" w:fill="FAFAFA"/>
            <w:tcBorders>
              <w:top w:val="nil"/>
              <w:bottom w:val="single" w:sz="4" w:space="0" w:color="CFCFCF"/>
              <w:left w:val="nil"/>
              <w:right w:val="nil"/>
            </w:tcBorders>
            <w:vAlign w:val="top"/>
          </w:tcPr>
          <w:p>
            <w:pPr>
              <w:spacing w:before="80" w:after="80"/>
            </w:pPr>
            <w:r/>
            <w:r>
              <w:rPr>
                <w:rFonts w:ascii="Calibri" w:hAnsi="Calibri"/>
                <w:color w:val="0A0A0A"/>
                <w:sz w:val="17"/>
              </w:rPr>
              <w:t>9</w:t>
            </w:r>
          </w:p>
        </w:tc>
        <w:tc>
          <w:tcPr>
            <w:tcW w:type="dxa" w:w="8928"/>
            <w:shd w:val="clear" w:color="auto" w:fill="FAFAFA"/>
            <w:tcBorders>
              <w:top w:val="nil"/>
              <w:bottom w:val="single" w:sz="4" w:space="0" w:color="CFCFCF"/>
              <w:left w:val="nil"/>
              <w:right w:val="nil"/>
            </w:tcBorders>
            <w:vAlign w:val="top"/>
          </w:tcPr>
          <w:p>
            <w:pPr>
              <w:spacing w:before="80" w:after="80"/>
            </w:pPr>
            <w:r/>
            <w:r>
              <w:rPr>
                <w:rFonts w:ascii="Calibri" w:hAnsi="Calibri"/>
                <w:color w:val="0A0A0A"/>
                <w:sz w:val="17"/>
              </w:rPr>
              <w:t>At the bottom of the on-prem zone, write the three-signature emphasis: '(1) Firecrawl source attest, (2) compliance officer approval, (3) bundle signing.'</w:t>
            </w:r>
          </w:p>
        </w:tc>
      </w:tr>
      <w:tr>
        <w:tc>
          <w:tcPr>
            <w:tcW w:type="dxa" w:w="720"/>
            <w:shd w:val="clear" w:color="auto" w:fill="FFFFFF"/>
            <w:tcBorders>
              <w:top w:val="nil"/>
              <w:bottom w:val="single" w:sz="4" w:space="0" w:color="CFCFCF"/>
              <w:left w:val="nil"/>
              <w:right w:val="nil"/>
            </w:tcBorders>
            <w:vAlign w:val="top"/>
          </w:tcPr>
          <w:p>
            <w:pPr>
              <w:spacing w:before="80" w:after="80"/>
            </w:pPr>
            <w:r/>
            <w:r>
              <w:rPr>
                <w:rFonts w:ascii="Calibri" w:hAnsi="Calibri"/>
                <w:color w:val="0A0A0A"/>
                <w:sz w:val="17"/>
              </w:rPr>
              <w:t>10</w:t>
            </w:r>
          </w:p>
        </w:tc>
        <w:tc>
          <w:tcPr>
            <w:tcW w:type="dxa" w:w="8928"/>
            <w:shd w:val="clear" w:color="auto" w:fill="FFFFFF"/>
            <w:tcBorders>
              <w:top w:val="nil"/>
              <w:bottom w:val="single" w:sz="4" w:space="0" w:color="CFCFCF"/>
              <w:left w:val="nil"/>
              <w:right w:val="nil"/>
            </w:tcBorders>
            <w:vAlign w:val="top"/>
          </w:tcPr>
          <w:p>
            <w:pPr>
              <w:spacing w:before="80" w:after="80"/>
            </w:pPr>
            <w:r/>
            <w:r>
              <w:rPr>
                <w:rFonts w:ascii="Calibri" w:hAnsi="Calibri"/>
                <w:color w:val="0A0A0A"/>
                <w:sz w:val="17"/>
              </w:rPr>
              <w:t>Drop the anchor phrase as soon as the Compliance Officer Gate is drawn.</w:t>
            </w:r>
          </w:p>
        </w:tc>
      </w:tr>
    </w:tbl>
    <w:p>
      <w:r>
        <w:br w:type="page"/>
      </w:r>
    </w:p>
    <w:p>
      <w:pPr>
        <w:spacing w:before="160" w:after="40"/>
      </w:pPr>
      <w:r>
        <w:rPr>
          <w:rFonts w:ascii="Calibri" w:hAnsi="Calibri"/>
          <w:b/>
          <w:color w:val="C8102E"/>
          <w:sz w:val="18"/>
        </w:rPr>
        <w:t>SEQUENCING DISCIPLINE</w:t>
      </w:r>
    </w:p>
    <w:p>
      <w:pPr>
        <w:spacing w:before="40" w:after="80"/>
        <w:pBdr>
          <w:bottom w:val="single" w:sz="12" w:space="4" w:color="C8102E"/>
        </w:pBdr>
      </w:pPr>
      <w:r>
        <w:rPr>
          <w:rFonts w:ascii="Calibri" w:hAnsi="Calibri"/>
          <w:b/>
          <w:color w:val="0A0A0A"/>
          <w:sz w:val="34"/>
        </w:rPr>
        <w:t>Sequencing discipline</w:t>
      </w:r>
    </w:p>
    <w:p>
      <w:pPr>
        <w:spacing w:after="160" w:line="276" w:lineRule="auto"/>
        <w:jc w:val="both"/>
      </w:pPr>
      <w:r>
        <w:rPr>
          <w:rFonts w:ascii="Calibri" w:hAnsi="Calibri"/>
          <w:b w:val="0"/>
          <w:i w:val="0"/>
          <w:color w:val="0A0A0A"/>
          <w:sz w:val="21"/>
        </w:rPr>
        <w:t>The three drawings have a fixed order. Each builds on what came before. Drawing them out of sequence undermines the architectural narrative. Drawing too quickly defeats the demonstration of fluency. Drawing too slowly loses the room. The pacing target is 5 to 7 minutes per drawing, with the anchor phrase delivered approximately one-third of the way through each drawing — not at the end.</w:t>
      </w:r>
    </w:p>
    <w:tbl>
      <w:tblPr>
        <w:tblW w:type="auto" w:w="0"/>
        <w:jc w:val="left"/>
        <w:tblLayout w:type="fixed"/>
        <w:tblLook w:firstColumn="1" w:firstRow="1" w:lastColumn="0" w:lastRow="0" w:noHBand="0" w:noVBand="1" w:val="04A0"/>
      </w:tblPr>
      <w:tblGrid>
        <w:gridCol w:w="3312"/>
        <w:gridCol w:w="3312"/>
        <w:gridCol w:w="3312"/>
      </w:tblGrid>
      <w:tr>
        <w:tc>
          <w:tcPr>
            <w:tcW w:type="dxa" w:w="1440"/>
            <w:shd w:val="clear" w:color="auto" w:fill="C8102E"/>
            <w:tcBorders>
              <w:top w:val="single" w:sz="4" w:space="0" w:color="C8102E"/>
              <w:bottom w:val="single" w:sz="4" w:space="0" w:color="C8102E"/>
              <w:left w:val="single" w:sz="4" w:space="0" w:color="C8102E"/>
              <w:right w:val="single" w:sz="4" w:space="0" w:color="C8102E"/>
            </w:tcBorders>
            <w:vAlign w:val="top"/>
          </w:tcPr>
          <w:p>
            <w:r/>
            <w:r>
              <w:rPr>
                <w:rFonts w:ascii="Calibri" w:hAnsi="Calibri"/>
                <w:b/>
                <w:color w:val="FFFFFF"/>
                <w:sz w:val="18"/>
              </w:rPr>
              <w:t>DRAWING</w:t>
            </w:r>
          </w:p>
        </w:tc>
        <w:tc>
          <w:tcPr>
            <w:tcW w:type="dxa" w:w="3888"/>
            <w:shd w:val="clear" w:color="auto" w:fill="C8102E"/>
            <w:tcBorders>
              <w:top w:val="single" w:sz="4" w:space="0" w:color="C8102E"/>
              <w:bottom w:val="single" w:sz="4" w:space="0" w:color="C8102E"/>
              <w:left w:val="single" w:sz="4" w:space="0" w:color="C8102E"/>
              <w:right w:val="single" w:sz="4" w:space="0" w:color="C8102E"/>
            </w:tcBorders>
            <w:vAlign w:val="top"/>
          </w:tcPr>
          <w:p>
            <w:r/>
            <w:r>
              <w:rPr>
                <w:rFonts w:ascii="Calibri" w:hAnsi="Calibri"/>
                <w:b/>
                <w:color w:val="FFFFFF"/>
                <w:sz w:val="18"/>
              </w:rPr>
              <w:t>ESTABLISHES</w:t>
            </w:r>
          </w:p>
        </w:tc>
        <w:tc>
          <w:tcPr>
            <w:tcW w:type="dxa" w:w="4320"/>
            <w:shd w:val="clear" w:color="auto" w:fill="C8102E"/>
            <w:tcBorders>
              <w:top w:val="single" w:sz="4" w:space="0" w:color="C8102E"/>
              <w:bottom w:val="single" w:sz="4" w:space="0" w:color="C8102E"/>
              <w:left w:val="single" w:sz="4" w:space="0" w:color="C8102E"/>
              <w:right w:val="single" w:sz="4" w:space="0" w:color="C8102E"/>
            </w:tcBorders>
            <w:vAlign w:val="top"/>
          </w:tcPr>
          <w:p>
            <w:r/>
            <w:r>
              <w:rPr>
                <w:rFonts w:ascii="Calibri" w:hAnsi="Calibri"/>
                <w:b/>
                <w:color w:val="FFFFFF"/>
                <w:sz w:val="18"/>
              </w:rPr>
              <w:t>OPEN QUESTIONS IT INVITES</w:t>
            </w:r>
          </w:p>
        </w:tc>
      </w:tr>
      <w:tr>
        <w:tc>
          <w:tcPr>
            <w:tcW w:type="dxa" w:w="1440"/>
            <w:shd w:val="clear" w:color="auto" w:fill="FAFAFA"/>
            <w:tcBorders>
              <w:top w:val="nil"/>
              <w:bottom w:val="single" w:sz="4" w:space="0" w:color="CFCFCF"/>
              <w:left w:val="nil"/>
              <w:right w:val="nil"/>
            </w:tcBorders>
            <w:vAlign w:val="top"/>
          </w:tcPr>
          <w:p>
            <w:pPr>
              <w:spacing w:before="80" w:after="80"/>
            </w:pPr>
            <w:r/>
            <w:r>
              <w:rPr>
                <w:rFonts w:ascii="Calibri" w:hAnsi="Calibri"/>
                <w:b/>
                <w:color w:val="C8102E"/>
                <w:sz w:val="17"/>
              </w:rPr>
              <w:t>Drawing 1</w:t>
            </w:r>
          </w:p>
        </w:tc>
        <w:tc>
          <w:tcPr>
            <w:tcW w:type="dxa" w:w="3888"/>
            <w:shd w:val="clear" w:color="auto" w:fill="FAFAFA"/>
            <w:tcBorders>
              <w:top w:val="nil"/>
              <w:bottom w:val="single" w:sz="4" w:space="0" w:color="CFCFCF"/>
              <w:left w:val="nil"/>
              <w:right w:val="nil"/>
            </w:tcBorders>
            <w:vAlign w:val="top"/>
          </w:tcPr>
          <w:p>
            <w:pPr>
              <w:spacing w:before="80" w:after="80"/>
            </w:pPr>
            <w:r/>
            <w:r>
              <w:rPr>
                <w:rFonts w:ascii="Calibri" w:hAnsi="Calibri"/>
                <w:color w:val="0A0A0A"/>
                <w:sz w:val="17"/>
              </w:rPr>
              <w:t>The physical deployment topology and the inbound/outbound boundary.</w:t>
            </w:r>
          </w:p>
        </w:tc>
        <w:tc>
          <w:tcPr>
            <w:tcW w:type="dxa" w:w="4320"/>
            <w:shd w:val="clear" w:color="auto" w:fill="FAFAFA"/>
            <w:tcBorders>
              <w:top w:val="nil"/>
              <w:bottom w:val="single" w:sz="4" w:space="0" w:color="CFCFCF"/>
              <w:left w:val="nil"/>
              <w:right w:val="nil"/>
            </w:tcBorders>
            <w:vAlign w:val="top"/>
          </w:tcPr>
          <w:p>
            <w:pPr>
              <w:spacing w:before="80" w:after="80"/>
            </w:pPr>
            <w:r/>
            <w:r>
              <w:rPr>
                <w:rFonts w:ascii="Calibri" w:hAnsi="Calibri"/>
                <w:color w:val="0A0A0A"/>
                <w:sz w:val="17"/>
              </w:rPr>
              <w:t>What goes through the signed-bundle endpoint? How do the tiers communicate internally? (Drawing 3 answers the first; Drawing 2 begins to answer the second.)</w:t>
            </w:r>
          </w:p>
        </w:tc>
      </w:tr>
      <w:tr>
        <w:tc>
          <w:tcPr>
            <w:tcW w:type="dxa" w:w="1440"/>
            <w:shd w:val="clear" w:color="auto" w:fill="FFFFFF"/>
            <w:tcBorders>
              <w:top w:val="nil"/>
              <w:bottom w:val="single" w:sz="4" w:space="0" w:color="CFCFCF"/>
              <w:left w:val="nil"/>
              <w:right w:val="nil"/>
            </w:tcBorders>
            <w:vAlign w:val="top"/>
          </w:tcPr>
          <w:p>
            <w:pPr>
              <w:spacing w:before="80" w:after="80"/>
            </w:pPr>
            <w:r/>
            <w:r>
              <w:rPr>
                <w:rFonts w:ascii="Calibri" w:hAnsi="Calibri"/>
                <w:b/>
                <w:color w:val="C8102E"/>
                <w:sz w:val="17"/>
              </w:rPr>
              <w:t>Drawing 2</w:t>
            </w:r>
          </w:p>
        </w:tc>
        <w:tc>
          <w:tcPr>
            <w:tcW w:type="dxa" w:w="3888"/>
            <w:shd w:val="clear" w:color="auto" w:fill="FFFFFF"/>
            <w:tcBorders>
              <w:top w:val="nil"/>
              <w:bottom w:val="single" w:sz="4" w:space="0" w:color="CFCFCF"/>
              <w:left w:val="nil"/>
              <w:right w:val="nil"/>
            </w:tcBorders>
            <w:vAlign w:val="top"/>
          </w:tcPr>
          <w:p>
            <w:pPr>
              <w:spacing w:before="80" w:after="80"/>
            </w:pPr>
            <w:r/>
            <w:r>
              <w:rPr>
                <w:rFonts w:ascii="Calibri" w:hAnsi="Calibri"/>
                <w:color w:val="0A0A0A"/>
                <w:sz w:val="17"/>
              </w:rPr>
              <w:t>The data boundary — what crosses pseudonymization and what does not.</w:t>
            </w:r>
          </w:p>
        </w:tc>
        <w:tc>
          <w:tcPr>
            <w:tcW w:type="dxa" w:w="4320"/>
            <w:shd w:val="clear" w:color="auto" w:fill="FFFFFF"/>
            <w:tcBorders>
              <w:top w:val="nil"/>
              <w:bottom w:val="single" w:sz="4" w:space="0" w:color="CFCFCF"/>
              <w:left w:val="nil"/>
              <w:right w:val="nil"/>
            </w:tcBorders>
            <w:vAlign w:val="top"/>
          </w:tcPr>
          <w:p>
            <w:pPr>
              <w:spacing w:before="80" w:after="80"/>
            </w:pPr>
            <w:r/>
            <w:r>
              <w:rPr>
                <w:rFonts w:ascii="Calibri" w:hAnsi="Calibri"/>
                <w:color w:val="0A0A0A"/>
                <w:sz w:val="17"/>
              </w:rPr>
              <w:t>How are synthetic IDs generated, and what happens if the mapping leaks? (Pre-Meeting Q&amp;A concern #2.) How do regulatory updates affect the PDP gates? (Drawing 3 answers.)</w:t>
            </w:r>
          </w:p>
        </w:tc>
      </w:tr>
      <w:tr>
        <w:tc>
          <w:tcPr>
            <w:tcW w:type="dxa" w:w="1440"/>
            <w:shd w:val="clear" w:color="auto" w:fill="FAFAFA"/>
            <w:tcBorders>
              <w:top w:val="nil"/>
              <w:bottom w:val="single" w:sz="4" w:space="0" w:color="CFCFCF"/>
              <w:left w:val="nil"/>
              <w:right w:val="nil"/>
            </w:tcBorders>
            <w:vAlign w:val="top"/>
          </w:tcPr>
          <w:p>
            <w:pPr>
              <w:spacing w:before="80" w:after="80"/>
            </w:pPr>
            <w:r/>
            <w:r>
              <w:rPr>
                <w:rFonts w:ascii="Calibri" w:hAnsi="Calibri"/>
                <w:b/>
                <w:color w:val="C8102E"/>
                <w:sz w:val="17"/>
              </w:rPr>
              <w:t>Drawing 3</w:t>
            </w:r>
          </w:p>
        </w:tc>
        <w:tc>
          <w:tcPr>
            <w:tcW w:type="dxa" w:w="3888"/>
            <w:shd w:val="clear" w:color="auto" w:fill="FAFAFA"/>
            <w:tcBorders>
              <w:top w:val="nil"/>
              <w:bottom w:val="single" w:sz="4" w:space="0" w:color="CFCFCF"/>
              <w:left w:val="nil"/>
              <w:right w:val="nil"/>
            </w:tcBorders>
            <w:vAlign w:val="top"/>
          </w:tcPr>
          <w:p>
            <w:pPr>
              <w:spacing w:before="80" w:after="80"/>
            </w:pPr>
            <w:r/>
            <w:r>
              <w:rPr>
                <w:rFonts w:ascii="Calibri" w:hAnsi="Calibri"/>
                <w:color w:val="0A0A0A"/>
                <w:sz w:val="17"/>
              </w:rPr>
              <w:t>The change-control pipeline for regulatory updates.</w:t>
            </w:r>
          </w:p>
        </w:tc>
        <w:tc>
          <w:tcPr>
            <w:tcW w:type="dxa" w:w="4320"/>
            <w:shd w:val="clear" w:color="auto" w:fill="FAFAFA"/>
            <w:tcBorders>
              <w:top w:val="nil"/>
              <w:bottom w:val="single" w:sz="4" w:space="0" w:color="CFCFCF"/>
              <w:left w:val="nil"/>
              <w:right w:val="nil"/>
            </w:tcBorders>
            <w:vAlign w:val="top"/>
          </w:tcPr>
          <w:p>
            <w:pPr>
              <w:spacing w:before="80" w:after="80"/>
            </w:pPr>
            <w:r/>
            <w:r>
              <w:rPr>
                <w:rFonts w:ascii="Calibri" w:hAnsi="Calibri"/>
                <w:color w:val="0A0A0A"/>
                <w:sz w:val="17"/>
              </w:rPr>
              <w:t>What is the compliance officer's actual workflow? (Operational runbook in the leave-behind.) How does Lamar reject a proposed update? (REJECT path; logged.)</w:t>
            </w:r>
          </w:p>
        </w:tc>
      </w:tr>
    </w:tbl>
    <w:p>
      <w:pPr>
        <w:spacing w:before="280" w:after="80"/>
      </w:pPr>
      <w:r>
        <w:rPr>
          <w:rFonts w:ascii="Calibri" w:hAnsi="Calibri"/>
          <w:b/>
          <w:color w:val="C8102E"/>
          <w:sz w:val="24"/>
        </w:rPr>
        <w:t>Marker discipline</w:t>
      </w:r>
    </w:p>
    <w:p>
      <w:pPr>
        <w:spacing w:after="160" w:line="276" w:lineRule="auto"/>
        <w:jc w:val="both"/>
      </w:pPr>
      <w:r>
        <w:rPr>
          <w:rFonts w:ascii="Calibri" w:hAnsi="Calibri"/>
          <w:b w:val="0"/>
          <w:i w:val="0"/>
          <w:color w:val="0A0A0A"/>
          <w:sz w:val="21"/>
        </w:rPr>
        <w:t>Use fresh markers. Three colors minimum: cardinal red, navy blue, forest green. Optional: gold for the SIGN box in Drawing 3. Test markers on a corner of the board before starting. Faded markers signal lack of preparation; specifically, they signal that the presenter does not draw architecture often enough to have a markers-ready habit. Sri will notice. Patrick will notice. Steven will notice and probably not say anything.</w:t>
      </w:r>
    </w:p>
    <w:p>
      <w:pPr>
        <w:spacing w:before="120" w:after="160" w:line="288" w:lineRule="auto"/>
        <w:jc w:val="both"/>
      </w:pPr>
      <w:r>
        <w:rPr>
          <w:rFonts w:ascii="Calibri" w:hAnsi="Calibri"/>
          <w:i/>
          <w:color w:val="C8102E"/>
          <w:sz w:val="21"/>
        </w:rPr>
        <w:t>Internalize the three drawings, the anchor phrases, and the step sequences. Close this document the morning of the meeting. When you stand at the whiteboard, the architecture should come from memory, not from the page. The room watches the difference.</w:t>
      </w:r>
    </w:p>
    <w:sectPr w:rsidR="00FC693F" w:rsidRPr="0006063C" w:rsidSect="00034616">
      <w:headerReference w:type="default" r:id="rId9"/>
      <w:footerReference w:type="default" r:id="rId10"/>
      <w:pgSz w:w="12240" w:h="15840"/>
      <w:pgMar w:top="1224" w:right="1080" w:bottom="1080" w:left="1224" w:header="576" w:footer="50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Bdr>
        <w:bottom w:val="single" w:sz="6" w:space="4" w:color="CFCFCF"/>
      </w:pBdr>
    </w:pPr>
    <w:r/>
    <w:r>
      <w:rPr>
        <w:rFonts w:ascii="Calibri" w:hAnsi="Calibri"/>
        <w:color w:val="5E5E5E"/>
        <w:sz w:val="14"/>
      </w:rPr>
      <w:t>Patent Pending — U.S. Provisional Patent Application No. 63/986,802  |  SMEPro Technologies Confidential  |  INTERNAL</w:t>
    </w:r>
    <w:r>
      <w:tab/>
      <w:tab/>
    </w:r>
    <w:r>
      <w:rPr>
        <w:rFonts w:ascii="Calibri" w:hAnsi="Calibri"/>
        <w:color w:val="5E5E5E"/>
        <w:sz w:val="14"/>
      </w:rPr>
      <w:fldChar w:fldCharType="begin"/>
      <w:instrText>PAGE</w:instrText>
      <w:fldChar w:fldCharType="separate"/>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Bdr>
        <w:bottom w:val="single" w:sz="6" w:space="4" w:color="CFCFCF"/>
      </w:pBdr>
      <w:spacing w:after="0"/>
    </w:pPr>
    <w:r/>
    <w:r>
      <w:rPr>
        <w:rFonts w:ascii="Calibri" w:hAnsi="Calibri"/>
        <w:b/>
        <w:color w:val="C8102E"/>
        <w:sz w:val="15"/>
      </w:rPr>
      <w:t>IOS+ LAMAR EDITION  ·  WHITEBOARD DRAWINGS  ·  INTERNAL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0A0A0A"/>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IOS+ Lamar — Whiteboard Drawings</dc:title>
  <dc:subject/>
  <dc:creator>SMEPro Technologies</dc:creator>
  <cp:keywords/>
  <dc:description>generated by python-docx</dc:description>
  <cp:lastModifiedBy/>
  <cp:revision>1</cp:revision>
  <dcterms:created xsi:type="dcterms:W3CDTF">2013-12-23T23:15:00Z</dcterms:created>
  <dcterms:modified xsi:type="dcterms:W3CDTF">2013-12-23T23:15:00Z</dcterms:modified>
  <cp:category/>
</cp:coreProperties>
</file>