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C2D" w:rsidRPr="00D402DA" w:rsidRDefault="00D402DA" w:rsidP="00D402DA">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D402DA">
        <w:rPr>
          <w:rFonts w:ascii="Georgia" w:eastAsia="Times New Roman" w:hAnsi="Georgia" w:cs="Times New Roman"/>
          <w:color w:val="000000"/>
          <w:kern w:val="36"/>
          <w:sz w:val="43"/>
          <w:szCs w:val="43"/>
        </w:rPr>
        <w:t>Nehru Report</w:t>
      </w:r>
    </w:p>
    <w:p w:rsidR="00D402DA" w:rsidRPr="00D402DA" w:rsidRDefault="00D402DA" w:rsidP="00D402DA">
      <w:pPr>
        <w:shd w:val="clear" w:color="auto" w:fill="FFFFFF"/>
        <w:spacing w:before="120" w:after="120" w:line="240" w:lineRule="auto"/>
        <w:rPr>
          <w:rFonts w:ascii="Arial" w:eastAsia="Times New Roman" w:hAnsi="Arial" w:cs="Arial"/>
          <w:color w:val="202122"/>
          <w:sz w:val="24"/>
          <w:szCs w:val="24"/>
        </w:rPr>
      </w:pPr>
      <w:r w:rsidRPr="00D402DA">
        <w:rPr>
          <w:rFonts w:ascii="Arial" w:eastAsia="Times New Roman" w:hAnsi="Arial" w:cs="Arial"/>
          <w:color w:val="202122"/>
          <w:sz w:val="24"/>
          <w:szCs w:val="24"/>
        </w:rPr>
        <w:t>The constitution outlined by the Nehru Report was for Indian enjoying dominion status within the British Commonwealth. Some of the important elements of the report: Element of Nehru report...</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Unlike the eventual </w:t>
      </w:r>
      <w:hyperlink r:id="rId5" w:tooltip="Government of India Act 1935" w:history="1">
        <w:r w:rsidRPr="00D402DA">
          <w:rPr>
            <w:rFonts w:ascii="Arial" w:eastAsia="Times New Roman" w:hAnsi="Arial" w:cs="Arial"/>
            <w:color w:val="0645AD"/>
            <w:sz w:val="24"/>
            <w:szCs w:val="24"/>
          </w:rPr>
          <w:t>Government of India Act 1935</w:t>
        </w:r>
      </w:hyperlink>
      <w:r w:rsidRPr="00D402DA">
        <w:rPr>
          <w:rFonts w:ascii="Arial" w:eastAsia="Times New Roman" w:hAnsi="Arial" w:cs="Arial"/>
          <w:color w:val="202122"/>
          <w:sz w:val="24"/>
          <w:szCs w:val="24"/>
        </w:rPr>
        <w:t> it contained a </w:t>
      </w:r>
      <w:hyperlink r:id="rId6" w:anchor="KR.2" w:history="1">
        <w:r w:rsidRPr="00D402DA">
          <w:rPr>
            <w:rFonts w:ascii="Arial" w:eastAsia="Times New Roman" w:hAnsi="Arial" w:cs="Arial"/>
            <w:color w:val="3366BB"/>
            <w:sz w:val="24"/>
            <w:szCs w:val="24"/>
          </w:rPr>
          <w:t>Bill of Rights</w:t>
        </w:r>
      </w:hyperlink>
      <w:r w:rsidRPr="00D402DA">
        <w:rPr>
          <w:rFonts w:ascii="Arial" w:eastAsia="Times New Roman" w:hAnsi="Arial" w:cs="Arial"/>
          <w:color w:val="202122"/>
          <w:sz w:val="24"/>
          <w:szCs w:val="24"/>
        </w:rPr>
        <w:t>.</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All power of government and all authority – </w:t>
      </w:r>
      <w:hyperlink r:id="rId7" w:tooltip="Legislative" w:history="1">
        <w:r w:rsidRPr="00D402DA">
          <w:rPr>
            <w:rFonts w:ascii="Arial" w:eastAsia="Times New Roman" w:hAnsi="Arial" w:cs="Arial"/>
            <w:color w:val="0645AD"/>
            <w:sz w:val="24"/>
            <w:szCs w:val="24"/>
          </w:rPr>
          <w:t>legislative</w:t>
        </w:r>
      </w:hyperlink>
      <w:r w:rsidRPr="00D402DA">
        <w:rPr>
          <w:rFonts w:ascii="Arial" w:eastAsia="Times New Roman" w:hAnsi="Arial" w:cs="Arial"/>
          <w:color w:val="202122"/>
          <w:sz w:val="24"/>
          <w:szCs w:val="24"/>
        </w:rPr>
        <w:t>, </w:t>
      </w:r>
      <w:hyperlink r:id="rId8" w:tooltip="Executive (government)" w:history="1">
        <w:r w:rsidRPr="00D402DA">
          <w:rPr>
            <w:rFonts w:ascii="Arial" w:eastAsia="Times New Roman" w:hAnsi="Arial" w:cs="Arial"/>
            <w:color w:val="0645AD"/>
            <w:sz w:val="24"/>
            <w:szCs w:val="24"/>
          </w:rPr>
          <w:t>executive</w:t>
        </w:r>
      </w:hyperlink>
      <w:r w:rsidRPr="00D402DA">
        <w:rPr>
          <w:rFonts w:ascii="Arial" w:eastAsia="Times New Roman" w:hAnsi="Arial" w:cs="Arial"/>
          <w:color w:val="202122"/>
          <w:sz w:val="24"/>
          <w:szCs w:val="24"/>
        </w:rPr>
        <w:t> and </w:t>
      </w:r>
      <w:hyperlink r:id="rId9" w:tooltip="Judicial" w:history="1">
        <w:r w:rsidRPr="00D402DA">
          <w:rPr>
            <w:rFonts w:ascii="Arial" w:eastAsia="Times New Roman" w:hAnsi="Arial" w:cs="Arial"/>
            <w:color w:val="0645AD"/>
            <w:sz w:val="24"/>
            <w:szCs w:val="24"/>
          </w:rPr>
          <w:t>judicial</w:t>
        </w:r>
      </w:hyperlink>
      <w:r w:rsidRPr="00D402DA">
        <w:rPr>
          <w:rFonts w:ascii="Arial" w:eastAsia="Times New Roman" w:hAnsi="Arial" w:cs="Arial"/>
          <w:color w:val="202122"/>
          <w:sz w:val="24"/>
          <w:szCs w:val="24"/>
        </w:rPr>
        <w:t xml:space="preserve"> – are derived from the people and the same shall be exercised through </w:t>
      </w:r>
      <w:proofErr w:type="spellStart"/>
      <w:r w:rsidRPr="00D402DA">
        <w:rPr>
          <w:rFonts w:ascii="Arial" w:eastAsia="Times New Roman" w:hAnsi="Arial" w:cs="Arial"/>
          <w:color w:val="202122"/>
          <w:sz w:val="24"/>
          <w:szCs w:val="24"/>
        </w:rPr>
        <w:t>organisations</w:t>
      </w:r>
      <w:proofErr w:type="spellEnd"/>
      <w:r w:rsidRPr="00D402DA">
        <w:rPr>
          <w:rFonts w:ascii="Arial" w:eastAsia="Times New Roman" w:hAnsi="Arial" w:cs="Arial"/>
          <w:color w:val="202122"/>
          <w:sz w:val="24"/>
          <w:szCs w:val="24"/>
        </w:rPr>
        <w:t xml:space="preserve"> established by, or under, and in accord with, this Constitution.</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There shall be no </w:t>
      </w:r>
      <w:hyperlink r:id="rId10" w:tooltip="State religion" w:history="1">
        <w:r w:rsidRPr="00D402DA">
          <w:rPr>
            <w:rFonts w:ascii="Arial" w:eastAsia="Times New Roman" w:hAnsi="Arial" w:cs="Arial"/>
            <w:color w:val="0645AD"/>
            <w:sz w:val="24"/>
            <w:szCs w:val="24"/>
          </w:rPr>
          <w:t>state religion</w:t>
        </w:r>
      </w:hyperlink>
      <w:r w:rsidRPr="00D402DA">
        <w:rPr>
          <w:rFonts w:ascii="Arial" w:eastAsia="Times New Roman" w:hAnsi="Arial" w:cs="Arial"/>
          <w:color w:val="202122"/>
          <w:sz w:val="24"/>
          <w:szCs w:val="24"/>
        </w:rPr>
        <w:t>; men and women shall have equal rights as </w:t>
      </w:r>
      <w:hyperlink r:id="rId11" w:tooltip="Citizens" w:history="1">
        <w:r w:rsidRPr="00D402DA">
          <w:rPr>
            <w:rFonts w:ascii="Arial" w:eastAsia="Times New Roman" w:hAnsi="Arial" w:cs="Arial"/>
            <w:color w:val="0645AD"/>
            <w:sz w:val="24"/>
            <w:szCs w:val="24"/>
          </w:rPr>
          <w:t>citizens</w:t>
        </w:r>
      </w:hyperlink>
      <w:r w:rsidRPr="00D402DA">
        <w:rPr>
          <w:rFonts w:ascii="Arial" w:eastAsia="Times New Roman" w:hAnsi="Arial" w:cs="Arial"/>
          <w:color w:val="202122"/>
          <w:sz w:val="24"/>
          <w:szCs w:val="24"/>
        </w:rPr>
        <w:t>.</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There should be </w:t>
      </w:r>
      <w:hyperlink r:id="rId12" w:tooltip="Federalism in India" w:history="1">
        <w:r w:rsidRPr="00D402DA">
          <w:rPr>
            <w:rFonts w:ascii="Arial" w:eastAsia="Times New Roman" w:hAnsi="Arial" w:cs="Arial"/>
            <w:color w:val="0645AD"/>
            <w:sz w:val="24"/>
            <w:szCs w:val="24"/>
          </w:rPr>
          <w:t>federal</w:t>
        </w:r>
      </w:hyperlink>
      <w:r w:rsidRPr="00D402DA">
        <w:rPr>
          <w:rFonts w:ascii="Arial" w:eastAsia="Times New Roman" w:hAnsi="Arial" w:cs="Arial"/>
          <w:color w:val="202122"/>
          <w:sz w:val="24"/>
          <w:szCs w:val="24"/>
        </w:rPr>
        <w:t> form of government with </w:t>
      </w:r>
      <w:hyperlink r:id="rId13" w:anchor="Residuary_Subjects" w:tooltip="Federalism in India" w:history="1">
        <w:r w:rsidRPr="00D402DA">
          <w:rPr>
            <w:rFonts w:ascii="Arial" w:eastAsia="Times New Roman" w:hAnsi="Arial" w:cs="Arial"/>
            <w:color w:val="0645AD"/>
            <w:sz w:val="24"/>
            <w:szCs w:val="24"/>
          </w:rPr>
          <w:t>residuary powers</w:t>
        </w:r>
      </w:hyperlink>
      <w:r w:rsidRPr="00D402DA">
        <w:rPr>
          <w:rFonts w:ascii="Arial" w:eastAsia="Times New Roman" w:hAnsi="Arial" w:cs="Arial"/>
          <w:color w:val="202122"/>
          <w:sz w:val="24"/>
          <w:szCs w:val="24"/>
        </w:rPr>
        <w:t> vested in the </w:t>
      </w:r>
      <w:hyperlink r:id="rId14" w:tooltip="Union List" w:history="1">
        <w:r w:rsidRPr="00D402DA">
          <w:rPr>
            <w:rFonts w:ascii="Arial" w:eastAsia="Times New Roman" w:hAnsi="Arial" w:cs="Arial"/>
            <w:color w:val="0645AD"/>
            <w:sz w:val="24"/>
            <w:szCs w:val="24"/>
          </w:rPr>
          <w:t>centre</w:t>
        </w:r>
      </w:hyperlink>
      <w:r w:rsidRPr="00D402DA">
        <w:rPr>
          <w:rFonts w:ascii="Arial" w:eastAsia="Times New Roman" w:hAnsi="Arial" w:cs="Arial"/>
          <w:color w:val="202122"/>
          <w:sz w:val="24"/>
          <w:szCs w:val="24"/>
        </w:rPr>
        <w:t>. (Some scholars, such as Moore considered the Nehru Report proposal as essentially </w:t>
      </w:r>
      <w:hyperlink r:id="rId15" w:tooltip="Unitary state" w:history="1">
        <w:r w:rsidRPr="00D402DA">
          <w:rPr>
            <w:rFonts w:ascii="Arial" w:eastAsia="Times New Roman" w:hAnsi="Arial" w:cs="Arial"/>
            <w:color w:val="0645AD"/>
            <w:sz w:val="24"/>
            <w:szCs w:val="24"/>
          </w:rPr>
          <w:t>unitary</w:t>
        </w:r>
      </w:hyperlink>
      <w:r w:rsidRPr="00D402DA">
        <w:rPr>
          <w:rFonts w:ascii="Arial" w:eastAsia="Times New Roman" w:hAnsi="Arial" w:cs="Arial"/>
          <w:color w:val="202122"/>
          <w:sz w:val="24"/>
          <w:szCs w:val="24"/>
        </w:rPr>
        <w:t> rather than </w:t>
      </w:r>
      <w:hyperlink r:id="rId16" w:tooltip="Federation" w:history="1">
        <w:r w:rsidRPr="00D402DA">
          <w:rPr>
            <w:rFonts w:ascii="Arial" w:eastAsia="Times New Roman" w:hAnsi="Arial" w:cs="Arial"/>
            <w:color w:val="0645AD"/>
            <w:sz w:val="24"/>
            <w:szCs w:val="24"/>
          </w:rPr>
          <w:t>federal</w:t>
        </w:r>
      </w:hyperlink>
      <w:r w:rsidRPr="00D402DA">
        <w:rPr>
          <w:rFonts w:ascii="Arial" w:eastAsia="Times New Roman" w:hAnsi="Arial" w:cs="Arial"/>
          <w:color w:val="202122"/>
          <w:sz w:val="24"/>
          <w:szCs w:val="24"/>
        </w:rPr>
        <w:t>);</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It included a description of the machinery of government including a proposal for the creation of a </w:t>
      </w:r>
      <w:hyperlink r:id="rId17" w:tooltip="Supreme Court of India" w:history="1">
        <w:r w:rsidRPr="00D402DA">
          <w:rPr>
            <w:rFonts w:ascii="Arial" w:eastAsia="Times New Roman" w:hAnsi="Arial" w:cs="Arial"/>
            <w:color w:val="0645AD"/>
            <w:sz w:val="24"/>
            <w:szCs w:val="24"/>
          </w:rPr>
          <w:t>Supreme Court</w:t>
        </w:r>
      </w:hyperlink>
      <w:r w:rsidRPr="00D402DA">
        <w:rPr>
          <w:rFonts w:ascii="Arial" w:eastAsia="Times New Roman" w:hAnsi="Arial" w:cs="Arial"/>
          <w:color w:val="202122"/>
          <w:sz w:val="24"/>
          <w:szCs w:val="24"/>
        </w:rPr>
        <w:t> and a suggestion that the provinces should be </w:t>
      </w:r>
      <w:hyperlink r:id="rId18" w:tooltip="States Reorganisation Commission" w:history="1">
        <w:r w:rsidRPr="00D402DA">
          <w:rPr>
            <w:rFonts w:ascii="Arial" w:eastAsia="Times New Roman" w:hAnsi="Arial" w:cs="Arial"/>
            <w:color w:val="0645AD"/>
            <w:sz w:val="24"/>
            <w:szCs w:val="24"/>
          </w:rPr>
          <w:t>linguistically determined</w:t>
        </w:r>
      </w:hyperlink>
      <w:r w:rsidRPr="00D402DA">
        <w:rPr>
          <w:rFonts w:ascii="Arial" w:eastAsia="Times New Roman" w:hAnsi="Arial" w:cs="Arial"/>
          <w:color w:val="202122"/>
          <w:sz w:val="24"/>
          <w:szCs w:val="24"/>
        </w:rPr>
        <w:t>.</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It did not provide for </w:t>
      </w:r>
      <w:hyperlink r:id="rId19" w:tooltip="Reserved political positions in India" w:history="1">
        <w:r w:rsidRPr="00D402DA">
          <w:rPr>
            <w:rFonts w:ascii="Arial" w:eastAsia="Times New Roman" w:hAnsi="Arial" w:cs="Arial"/>
            <w:color w:val="0645AD"/>
            <w:sz w:val="24"/>
            <w:szCs w:val="24"/>
          </w:rPr>
          <w:t>separate electorates</w:t>
        </w:r>
      </w:hyperlink>
      <w:r w:rsidRPr="00D402DA">
        <w:rPr>
          <w:rFonts w:ascii="Arial" w:eastAsia="Times New Roman" w:hAnsi="Arial" w:cs="Arial"/>
          <w:color w:val="202122"/>
          <w:sz w:val="24"/>
          <w:szCs w:val="24"/>
        </w:rPr>
        <w:t> for any community or </w:t>
      </w:r>
      <w:proofErr w:type="spellStart"/>
      <w:r w:rsidRPr="00D402DA">
        <w:rPr>
          <w:rFonts w:ascii="Arial" w:eastAsia="Times New Roman" w:hAnsi="Arial" w:cs="Arial"/>
          <w:color w:val="202122"/>
          <w:sz w:val="24"/>
          <w:szCs w:val="24"/>
        </w:rPr>
        <w:fldChar w:fldCharType="begin"/>
      </w:r>
      <w:r w:rsidRPr="00D402DA">
        <w:rPr>
          <w:rFonts w:ascii="Arial" w:eastAsia="Times New Roman" w:hAnsi="Arial" w:cs="Arial"/>
          <w:color w:val="202122"/>
          <w:sz w:val="24"/>
          <w:szCs w:val="24"/>
        </w:rPr>
        <w:instrText xml:space="preserve"> HYPERLINK "https://en.wikipedia.org/wiki/Confessionalism_(politics)" \o "Confessionalism (politics)" </w:instrText>
      </w:r>
      <w:r w:rsidRPr="00D402DA">
        <w:rPr>
          <w:rFonts w:ascii="Arial" w:eastAsia="Times New Roman" w:hAnsi="Arial" w:cs="Arial"/>
          <w:color w:val="202122"/>
          <w:sz w:val="24"/>
          <w:szCs w:val="24"/>
        </w:rPr>
        <w:fldChar w:fldCharType="separate"/>
      </w:r>
      <w:r w:rsidRPr="00D402DA">
        <w:rPr>
          <w:rFonts w:ascii="Arial" w:eastAsia="Times New Roman" w:hAnsi="Arial" w:cs="Arial"/>
          <w:color w:val="0645AD"/>
          <w:sz w:val="24"/>
          <w:szCs w:val="24"/>
        </w:rPr>
        <w:t>weightage</w:t>
      </w:r>
      <w:proofErr w:type="spellEnd"/>
      <w:r w:rsidRPr="00D402DA">
        <w:rPr>
          <w:rFonts w:ascii="Arial" w:eastAsia="Times New Roman" w:hAnsi="Arial" w:cs="Arial"/>
          <w:color w:val="202122"/>
          <w:sz w:val="24"/>
          <w:szCs w:val="24"/>
        </w:rPr>
        <w:fldChar w:fldCharType="end"/>
      </w:r>
      <w:r w:rsidRPr="00D402DA">
        <w:rPr>
          <w:rFonts w:ascii="Arial" w:eastAsia="Times New Roman" w:hAnsi="Arial" w:cs="Arial"/>
          <w:color w:val="202122"/>
          <w:sz w:val="24"/>
          <w:szCs w:val="24"/>
        </w:rPr>
        <w:t> for </w:t>
      </w:r>
      <w:hyperlink r:id="rId20" w:tooltip="Minorities" w:history="1">
        <w:r w:rsidRPr="00D402DA">
          <w:rPr>
            <w:rFonts w:ascii="Arial" w:eastAsia="Times New Roman" w:hAnsi="Arial" w:cs="Arial"/>
            <w:color w:val="0645AD"/>
            <w:sz w:val="24"/>
            <w:szCs w:val="24"/>
          </w:rPr>
          <w:t>minorities</w:t>
        </w:r>
      </w:hyperlink>
      <w:r w:rsidRPr="00D402DA">
        <w:rPr>
          <w:rFonts w:ascii="Arial" w:eastAsia="Times New Roman" w:hAnsi="Arial" w:cs="Arial"/>
          <w:color w:val="202122"/>
          <w:sz w:val="24"/>
          <w:szCs w:val="24"/>
        </w:rPr>
        <w:t>. Both of these were liberally provided in the eventual </w:t>
      </w:r>
      <w:hyperlink r:id="rId21" w:tooltip="Government of India Act 1935" w:history="1">
        <w:r w:rsidRPr="00D402DA">
          <w:rPr>
            <w:rFonts w:ascii="Arial" w:eastAsia="Times New Roman" w:hAnsi="Arial" w:cs="Arial"/>
            <w:color w:val="0645AD"/>
            <w:sz w:val="24"/>
            <w:szCs w:val="24"/>
          </w:rPr>
          <w:t>Government of India Act 1935</w:t>
        </w:r>
      </w:hyperlink>
      <w:r w:rsidRPr="00D402DA">
        <w:rPr>
          <w:rFonts w:ascii="Arial" w:eastAsia="Times New Roman" w:hAnsi="Arial" w:cs="Arial"/>
          <w:color w:val="202122"/>
          <w:sz w:val="24"/>
          <w:szCs w:val="24"/>
        </w:rPr>
        <w:t xml:space="preserve">. However, it did allow for the reservation of minority seats in provinces having </w:t>
      </w:r>
      <w:proofErr w:type="gramStart"/>
      <w:r w:rsidRPr="00D402DA">
        <w:rPr>
          <w:rFonts w:ascii="Arial" w:eastAsia="Times New Roman" w:hAnsi="Arial" w:cs="Arial"/>
          <w:color w:val="202122"/>
          <w:sz w:val="24"/>
          <w:szCs w:val="24"/>
        </w:rPr>
        <w:t>a </w:t>
      </w:r>
      <w:hyperlink r:id="rId22" w:tooltip="Minorities" w:history="1">
        <w:r w:rsidRPr="00D402DA">
          <w:rPr>
            <w:rFonts w:ascii="Arial" w:eastAsia="Times New Roman" w:hAnsi="Arial" w:cs="Arial"/>
            <w:color w:val="0645AD"/>
            <w:sz w:val="24"/>
            <w:szCs w:val="24"/>
          </w:rPr>
          <w:t>minorities</w:t>
        </w:r>
        <w:proofErr w:type="gramEnd"/>
      </w:hyperlink>
      <w:r w:rsidRPr="00D402DA">
        <w:rPr>
          <w:rFonts w:ascii="Arial" w:eastAsia="Times New Roman" w:hAnsi="Arial" w:cs="Arial"/>
          <w:color w:val="202122"/>
          <w:sz w:val="24"/>
          <w:szCs w:val="24"/>
        </w:rPr>
        <w:t> of at least ten percent, but this was to be in strict proportion to the size of the community.</w:t>
      </w:r>
    </w:p>
    <w:p w:rsidR="00D402DA" w:rsidRPr="00D402DA" w:rsidRDefault="00D402DA" w:rsidP="00D402DA">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D402DA">
        <w:rPr>
          <w:rFonts w:ascii="Arial" w:eastAsia="Times New Roman" w:hAnsi="Arial" w:cs="Arial"/>
          <w:color w:val="202122"/>
          <w:sz w:val="24"/>
          <w:szCs w:val="24"/>
        </w:rPr>
        <w:t>The language of the Union shall be Hindustani, which may be written either in Devanagari or Urdu character. The use of the English language shall be permitted.</w:t>
      </w:r>
      <w:hyperlink r:id="rId23" w:anchor="cite_note-3" w:history="1">
        <w:r w:rsidRPr="00D402DA">
          <w:rPr>
            <w:rFonts w:ascii="Arial" w:eastAsia="Times New Roman" w:hAnsi="Arial" w:cs="Arial"/>
            <w:color w:val="0645AD"/>
            <w:sz w:val="19"/>
            <w:vertAlign w:val="superscript"/>
          </w:rPr>
          <w:t>[3]</w:t>
        </w:r>
      </w:hyperlink>
    </w:p>
    <w:p w:rsidR="00D402DA" w:rsidRPr="00D402DA" w:rsidRDefault="00D402DA" w:rsidP="00D402DA">
      <w:pPr>
        <w:shd w:val="clear" w:color="auto" w:fill="FFFFFF"/>
        <w:spacing w:before="120" w:after="120" w:line="240" w:lineRule="auto"/>
        <w:rPr>
          <w:rFonts w:ascii="Arial" w:eastAsia="Times New Roman" w:hAnsi="Arial" w:cs="Arial"/>
          <w:color w:val="202122"/>
          <w:sz w:val="24"/>
          <w:szCs w:val="24"/>
        </w:rPr>
      </w:pPr>
      <w:r w:rsidRPr="00D402DA">
        <w:rPr>
          <w:rFonts w:ascii="Arial" w:eastAsia="Times New Roman" w:hAnsi="Arial" w:cs="Arial"/>
          <w:color w:val="202122"/>
          <w:sz w:val="24"/>
          <w:szCs w:val="24"/>
        </w:rPr>
        <w:t>The Nehru Report, along with that of the </w:t>
      </w:r>
      <w:hyperlink r:id="rId24" w:tooltip="Simon Commission" w:history="1">
        <w:r w:rsidRPr="00D402DA">
          <w:rPr>
            <w:rFonts w:ascii="Arial" w:eastAsia="Times New Roman" w:hAnsi="Arial" w:cs="Arial"/>
            <w:color w:val="0645AD"/>
            <w:sz w:val="24"/>
            <w:szCs w:val="24"/>
          </w:rPr>
          <w:t>Simon Commission</w:t>
        </w:r>
      </w:hyperlink>
      <w:r w:rsidRPr="00D402DA">
        <w:rPr>
          <w:rFonts w:ascii="Arial" w:eastAsia="Times New Roman" w:hAnsi="Arial" w:cs="Arial"/>
          <w:color w:val="202122"/>
          <w:sz w:val="24"/>
          <w:szCs w:val="24"/>
        </w:rPr>
        <w:t> was available to participants in the three </w:t>
      </w:r>
      <w:hyperlink r:id="rId25" w:tooltip="Round Table Conferences (India)" w:history="1">
        <w:r w:rsidRPr="00D402DA">
          <w:rPr>
            <w:rFonts w:ascii="Arial" w:eastAsia="Times New Roman" w:hAnsi="Arial" w:cs="Arial"/>
            <w:color w:val="0645AD"/>
            <w:sz w:val="24"/>
            <w:szCs w:val="24"/>
          </w:rPr>
          <w:t>Indian Round Table Conferences (1930–1932)</w:t>
        </w:r>
      </w:hyperlink>
      <w:r w:rsidRPr="00D402DA">
        <w:rPr>
          <w:rFonts w:ascii="Arial" w:eastAsia="Times New Roman" w:hAnsi="Arial" w:cs="Arial"/>
          <w:color w:val="202122"/>
          <w:sz w:val="24"/>
          <w:szCs w:val="24"/>
        </w:rPr>
        <w:t>. However, the </w:t>
      </w:r>
      <w:hyperlink r:id="rId26" w:tooltip="Government of India Act 1935" w:history="1">
        <w:r w:rsidRPr="00D402DA">
          <w:rPr>
            <w:rFonts w:ascii="Arial" w:eastAsia="Times New Roman" w:hAnsi="Arial" w:cs="Arial"/>
            <w:color w:val="0645AD"/>
            <w:sz w:val="24"/>
            <w:szCs w:val="24"/>
          </w:rPr>
          <w:t>Government of India Act 1935</w:t>
        </w:r>
      </w:hyperlink>
      <w:r w:rsidRPr="00D402DA">
        <w:rPr>
          <w:rFonts w:ascii="Arial" w:eastAsia="Times New Roman" w:hAnsi="Arial" w:cs="Arial"/>
          <w:color w:val="202122"/>
          <w:sz w:val="24"/>
          <w:szCs w:val="24"/>
        </w:rPr>
        <w:t> owes much to the Simon Commission report and little, if anything to the Nehru Report.</w:t>
      </w:r>
    </w:p>
    <w:p w:rsidR="00D402DA" w:rsidRDefault="00D402DA"/>
    <w:p w:rsidR="00D402DA" w:rsidRPr="00D402DA" w:rsidRDefault="00D402DA" w:rsidP="00D402DA">
      <w:pPr>
        <w:pBdr>
          <w:bottom w:val="single" w:sz="6" w:space="0" w:color="A2A9B1"/>
        </w:pBdr>
        <w:spacing w:after="60" w:line="240" w:lineRule="auto"/>
        <w:outlineLvl w:val="0"/>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Jinnah 14 Points</w:t>
      </w:r>
    </w:p>
    <w:p w:rsidR="00D402DA" w:rsidRDefault="00D402DA"/>
    <w:p w:rsidR="00D402DA" w:rsidRPr="00D402DA" w:rsidRDefault="00D402DA">
      <w:pPr>
        <w:rPr>
          <w:rFonts w:cs="Arial"/>
          <w:sz w:val="24"/>
          <w:szCs w:val="24"/>
          <w:shd w:val="clear" w:color="auto" w:fill="FFFFFF"/>
        </w:rPr>
      </w:pPr>
      <w:r w:rsidRPr="00D402DA">
        <w:rPr>
          <w:rFonts w:cs="Arial"/>
          <w:color w:val="676F7C"/>
          <w:sz w:val="24"/>
          <w:szCs w:val="24"/>
          <w:shd w:val="clear" w:color="auto" w:fill="FFFFFF"/>
        </w:rPr>
        <w:t> </w:t>
      </w:r>
      <w:r w:rsidRPr="00D402DA">
        <w:rPr>
          <w:rFonts w:cs="Arial"/>
          <w:sz w:val="24"/>
          <w:szCs w:val="24"/>
          <w:shd w:val="clear" w:color="auto" w:fill="FFFFFF"/>
        </w:rPr>
        <w:t xml:space="preserve">The following points were presented by the </w:t>
      </w:r>
      <w:proofErr w:type="spellStart"/>
      <w:r w:rsidRPr="00D402DA">
        <w:rPr>
          <w:rFonts w:cs="Arial"/>
          <w:sz w:val="24"/>
          <w:szCs w:val="24"/>
          <w:shd w:val="clear" w:color="auto" w:fill="FFFFFF"/>
        </w:rPr>
        <w:t>Quaid</w:t>
      </w:r>
      <w:proofErr w:type="spellEnd"/>
      <w:r w:rsidRPr="00D402DA">
        <w:rPr>
          <w:rFonts w:cs="Arial"/>
          <w:sz w:val="24"/>
          <w:szCs w:val="24"/>
          <w:shd w:val="clear" w:color="auto" w:fill="FFFFFF"/>
        </w:rPr>
        <w:t xml:space="preserve"> to defend the rights of the Muslims of the sub-continent:</w:t>
      </w:r>
    </w:p>
    <w:p w:rsidR="00D402DA" w:rsidRPr="00D402DA" w:rsidRDefault="00D402DA">
      <w:pPr>
        <w:rPr>
          <w:sz w:val="24"/>
          <w:szCs w:val="24"/>
        </w:rPr>
      </w:pPr>
      <w:r w:rsidRPr="00D402DA">
        <w:rPr>
          <w:rFonts w:cs="Arial"/>
          <w:bCs/>
          <w:color w:val="222222"/>
          <w:sz w:val="24"/>
          <w:szCs w:val="24"/>
          <w:bdr w:val="none" w:sz="0" w:space="0" w:color="auto" w:frame="1"/>
          <w:shd w:val="clear" w:color="auto" w:fill="FFFFFF"/>
        </w:rPr>
        <w:t>1. Federal System</w:t>
      </w:r>
      <w:r w:rsidRPr="00D402DA">
        <w:rPr>
          <w:rFonts w:cs="Arial"/>
          <w:color w:val="222222"/>
          <w:sz w:val="24"/>
          <w:szCs w:val="24"/>
        </w:rPr>
        <w:br/>
      </w:r>
      <w:r w:rsidRPr="00D402DA">
        <w:rPr>
          <w:rFonts w:cs="Arial"/>
          <w:color w:val="222222"/>
          <w:sz w:val="24"/>
          <w:szCs w:val="24"/>
          <w:shd w:val="clear" w:color="auto" w:fill="FFFFFF"/>
        </w:rPr>
        <w:t>The form of the future constitution should be federal with the residuary powers rested in the provinces.</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2. Provincial Autonomy</w:t>
      </w:r>
      <w:r w:rsidRPr="00D402DA">
        <w:rPr>
          <w:rFonts w:cs="Arial"/>
          <w:color w:val="222222"/>
          <w:sz w:val="24"/>
          <w:szCs w:val="24"/>
        </w:rPr>
        <w:br/>
      </w:r>
      <w:hyperlink r:id="rId27" w:anchor="note-3129716" w:history="1">
        <w:proofErr w:type="gramStart"/>
        <w:r w:rsidRPr="00D402DA">
          <w:rPr>
            <w:rStyle w:val="Hyperlink"/>
            <w:rFonts w:cs="Arial"/>
            <w:color w:val="000000"/>
            <w:sz w:val="24"/>
            <w:szCs w:val="24"/>
            <w:u w:val="none"/>
            <w:bdr w:val="none" w:sz="0" w:space="0" w:color="auto" w:frame="1"/>
            <w:shd w:val="clear" w:color="auto" w:fill="DDDDDD"/>
          </w:rPr>
          <w:t>A</w:t>
        </w:r>
        <w:proofErr w:type="gramEnd"/>
        <w:r w:rsidRPr="00D402DA">
          <w:rPr>
            <w:rStyle w:val="Hyperlink"/>
            <w:rFonts w:cs="Arial"/>
            <w:color w:val="000000"/>
            <w:sz w:val="24"/>
            <w:szCs w:val="24"/>
            <w:u w:val="none"/>
            <w:bdr w:val="none" w:sz="0" w:space="0" w:color="auto" w:frame="1"/>
            <w:shd w:val="clear" w:color="auto" w:fill="DDDDDD"/>
          </w:rPr>
          <w:t xml:space="preserve"> uniform measure of autonomy shall be granted to all provinces.</w:t>
        </w:r>
      </w:hyperlink>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lastRenderedPageBreak/>
        <w:t>3. Representation of Minorities</w:t>
      </w:r>
      <w:r w:rsidRPr="00D402DA">
        <w:rPr>
          <w:rFonts w:cs="Arial"/>
          <w:color w:val="222222"/>
          <w:sz w:val="24"/>
          <w:szCs w:val="24"/>
        </w:rPr>
        <w:br/>
      </w:r>
      <w:proofErr w:type="gramStart"/>
      <w:r w:rsidRPr="00D402DA">
        <w:rPr>
          <w:rFonts w:cs="Arial"/>
          <w:color w:val="222222"/>
          <w:sz w:val="24"/>
          <w:szCs w:val="24"/>
          <w:shd w:val="clear" w:color="auto" w:fill="FFFFFF"/>
        </w:rPr>
        <w:t>All</w:t>
      </w:r>
      <w:proofErr w:type="gramEnd"/>
      <w:r w:rsidRPr="00D402DA">
        <w:rPr>
          <w:rFonts w:cs="Arial"/>
          <w:color w:val="222222"/>
          <w:sz w:val="24"/>
          <w:szCs w:val="24"/>
          <w:shd w:val="clear" w:color="auto" w:fill="FFFFFF"/>
        </w:rPr>
        <w:t xml:space="preserve"> legislative in the country and other elected bodies shall be constituted on the definite principles of adequate and effective representation of minorities in every province without reducing the majority in any province to a minority or even equality.</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4. Number of Muslim Representative</w:t>
      </w:r>
      <w:r w:rsidRPr="00D402DA">
        <w:rPr>
          <w:rFonts w:cs="Arial"/>
          <w:color w:val="222222"/>
          <w:sz w:val="24"/>
          <w:szCs w:val="24"/>
        </w:rPr>
        <w:br/>
      </w:r>
      <w:hyperlink r:id="rId28" w:anchor="note-3129858" w:history="1">
        <w:r w:rsidRPr="00D402DA">
          <w:rPr>
            <w:rStyle w:val="Hyperlink"/>
            <w:rFonts w:cs="Arial"/>
            <w:color w:val="000000"/>
            <w:sz w:val="24"/>
            <w:szCs w:val="24"/>
            <w:u w:val="none"/>
            <w:bdr w:val="none" w:sz="0" w:space="0" w:color="auto" w:frame="1"/>
            <w:shd w:val="clear" w:color="auto" w:fill="DDDDDD"/>
          </w:rPr>
          <w:t>In the central legislative, Muslims representative shall be not less than one-third.</w:t>
        </w:r>
      </w:hyperlink>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5. Separate Electorates</w:t>
      </w:r>
      <w:r w:rsidRPr="00D402DA">
        <w:rPr>
          <w:rFonts w:cs="Arial"/>
          <w:color w:val="222222"/>
          <w:sz w:val="24"/>
          <w:szCs w:val="24"/>
        </w:rPr>
        <w:br/>
      </w:r>
      <w:r w:rsidRPr="00D402DA">
        <w:rPr>
          <w:rFonts w:cs="Arial"/>
          <w:color w:val="222222"/>
          <w:sz w:val="24"/>
          <w:szCs w:val="24"/>
          <w:shd w:val="clear" w:color="auto" w:fill="FFFFFF"/>
        </w:rPr>
        <w:t>Representative of communal groups shall continue to be by means of separate electorates as at present provided it shall be open to any community, at any time to abandon its separate electorate in favor of joint electorate.</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6. Muslim Majority Provinces</w:t>
      </w:r>
      <w:r w:rsidRPr="00D402DA">
        <w:rPr>
          <w:rFonts w:cs="Arial"/>
          <w:color w:val="222222"/>
          <w:sz w:val="24"/>
          <w:szCs w:val="24"/>
        </w:rPr>
        <w:br/>
      </w:r>
      <w:proofErr w:type="gramStart"/>
      <w:r w:rsidRPr="00D402DA">
        <w:rPr>
          <w:rFonts w:cs="Arial"/>
          <w:color w:val="222222"/>
          <w:sz w:val="24"/>
          <w:szCs w:val="24"/>
          <w:shd w:val="clear" w:color="auto" w:fill="FFFFFF"/>
        </w:rPr>
        <w:t>Any</w:t>
      </w:r>
      <w:proofErr w:type="gramEnd"/>
      <w:r w:rsidRPr="00D402DA">
        <w:rPr>
          <w:rFonts w:cs="Arial"/>
          <w:color w:val="222222"/>
          <w:sz w:val="24"/>
          <w:szCs w:val="24"/>
          <w:shd w:val="clear" w:color="auto" w:fill="FFFFFF"/>
        </w:rPr>
        <w:t xml:space="preserve"> territorial re-distribution that might at any time be necessary shall not in any way, affect the Muslim majority in Punjab, Bengal and N.W.F.P.</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7. Religious Liberty</w:t>
      </w:r>
      <w:r w:rsidRPr="00D402DA">
        <w:rPr>
          <w:rFonts w:cs="Arial"/>
          <w:color w:val="222222"/>
          <w:sz w:val="24"/>
          <w:szCs w:val="24"/>
        </w:rPr>
        <w:br/>
      </w:r>
      <w:r w:rsidRPr="00D402DA">
        <w:rPr>
          <w:rFonts w:cs="Arial"/>
          <w:color w:val="222222"/>
          <w:sz w:val="24"/>
          <w:szCs w:val="24"/>
          <w:shd w:val="clear" w:color="auto" w:fill="FFFFFF"/>
        </w:rPr>
        <w:t>Full religious Liberty, liberty of belief, worship and observance, association and education shall be guaranteed to all the communication.</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8. Three-Fourth Representation</w:t>
      </w:r>
      <w:r w:rsidRPr="00D402DA">
        <w:rPr>
          <w:rFonts w:cs="Arial"/>
          <w:color w:val="222222"/>
          <w:sz w:val="24"/>
          <w:szCs w:val="24"/>
        </w:rPr>
        <w:br/>
      </w:r>
      <w:r w:rsidRPr="00D402DA">
        <w:rPr>
          <w:rFonts w:cs="Arial"/>
          <w:color w:val="222222"/>
          <w:sz w:val="24"/>
          <w:szCs w:val="24"/>
          <w:shd w:val="clear" w:color="auto" w:fill="FFFFFF"/>
        </w:rPr>
        <w:t>No bill or resolution shall be passed in any legislative or any other elected body if three-fourths of the members of any community in that particular body oppose such a bill.</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9. Separation of Sindh</w:t>
      </w:r>
      <w:r w:rsidRPr="00D402DA">
        <w:rPr>
          <w:rFonts w:cs="Arial"/>
          <w:color w:val="222222"/>
          <w:sz w:val="24"/>
          <w:szCs w:val="24"/>
        </w:rPr>
        <w:br/>
      </w:r>
      <w:hyperlink r:id="rId29" w:anchor="note-3130006" w:history="1">
        <w:r w:rsidRPr="00D402DA">
          <w:rPr>
            <w:rStyle w:val="Hyperlink"/>
            <w:rFonts w:cs="Arial"/>
            <w:color w:val="000000"/>
            <w:sz w:val="24"/>
            <w:szCs w:val="24"/>
            <w:u w:val="none"/>
            <w:bdr w:val="none" w:sz="0" w:space="0" w:color="auto" w:frame="1"/>
            <w:shd w:val="clear" w:color="auto" w:fill="DDDDDD"/>
          </w:rPr>
          <w:t>Sindh should be separated from Bombay Presidency.</w:t>
        </w:r>
      </w:hyperlink>
      <w:r w:rsidRPr="00D402DA">
        <w:rPr>
          <w:rFonts w:cs="Arial"/>
          <w:color w:val="222222"/>
          <w:sz w:val="24"/>
          <w:szCs w:val="24"/>
        </w:rPr>
        <w:br/>
      </w:r>
      <w:r w:rsidRPr="00D402DA">
        <w:rPr>
          <w:rFonts w:cs="Arial"/>
          <w:color w:val="222222"/>
          <w:sz w:val="24"/>
          <w:szCs w:val="24"/>
        </w:rPr>
        <w:br/>
      </w:r>
      <w:hyperlink r:id="rId30" w:anchor="note-12768127" w:history="1">
        <w:r w:rsidRPr="00D402DA">
          <w:rPr>
            <w:rStyle w:val="Hyperlink"/>
            <w:rFonts w:cs="Arial"/>
            <w:bCs/>
            <w:color w:val="000000"/>
            <w:sz w:val="24"/>
            <w:szCs w:val="24"/>
            <w:u w:val="none"/>
            <w:bdr w:val="none" w:sz="0" w:space="0" w:color="auto" w:frame="1"/>
            <w:shd w:val="clear" w:color="auto" w:fill="DDDDDD"/>
          </w:rPr>
          <w:t>10. Introduction of Reforms in N.W.F.P and Baluchistan</w:t>
        </w:r>
        <w:r w:rsidRPr="00D402DA">
          <w:rPr>
            <w:rFonts w:cs="Arial"/>
            <w:color w:val="000000"/>
            <w:sz w:val="24"/>
            <w:szCs w:val="24"/>
            <w:bdr w:val="none" w:sz="0" w:space="0" w:color="auto" w:frame="1"/>
            <w:shd w:val="clear" w:color="auto" w:fill="DDDDDD"/>
          </w:rPr>
          <w:br/>
        </w:r>
        <w:r w:rsidRPr="00D402DA">
          <w:rPr>
            <w:rStyle w:val="Hyperlink"/>
            <w:rFonts w:cs="Arial"/>
            <w:color w:val="000000"/>
            <w:sz w:val="24"/>
            <w:szCs w:val="24"/>
            <w:u w:val="none"/>
            <w:bdr w:val="none" w:sz="0" w:space="0" w:color="auto" w:frame="1"/>
            <w:shd w:val="clear" w:color="auto" w:fill="DDDDDD"/>
          </w:rPr>
          <w:t>Reforms should be introduced in the North-West Frontier Province and Baluchistan on the same footing as in other provinces.</w:t>
        </w:r>
      </w:hyperlink>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11. Government Services</w:t>
      </w:r>
      <w:r w:rsidRPr="00D402DA">
        <w:rPr>
          <w:rFonts w:cs="Arial"/>
          <w:color w:val="222222"/>
          <w:sz w:val="24"/>
          <w:szCs w:val="24"/>
        </w:rPr>
        <w:br/>
      </w:r>
      <w:r w:rsidRPr="00D402DA">
        <w:rPr>
          <w:rFonts w:cs="Arial"/>
          <w:color w:val="222222"/>
          <w:sz w:val="24"/>
          <w:szCs w:val="24"/>
          <w:shd w:val="clear" w:color="auto" w:fill="FFFFFF"/>
        </w:rPr>
        <w:t>Muslims should be given adequate share along with other Indians in the services of State.</w:t>
      </w:r>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12. Protection of Muslim's culture and Language</w:t>
      </w:r>
      <w:r w:rsidRPr="00D402DA">
        <w:rPr>
          <w:rFonts w:cs="Arial"/>
          <w:color w:val="222222"/>
          <w:sz w:val="24"/>
          <w:szCs w:val="24"/>
        </w:rPr>
        <w:br/>
      </w:r>
      <w:r w:rsidRPr="00D402DA">
        <w:rPr>
          <w:rFonts w:cs="Arial"/>
          <w:color w:val="222222"/>
          <w:sz w:val="24"/>
          <w:szCs w:val="24"/>
          <w:shd w:val="clear" w:color="auto" w:fill="FFFFFF"/>
        </w:rPr>
        <w:t>The constitution should embody adequate safeguard for the protection of Muslim culture, language, religion and civilization.</w:t>
      </w:r>
      <w:r w:rsidRPr="00D402DA">
        <w:rPr>
          <w:rFonts w:cs="Arial"/>
          <w:color w:val="222222"/>
          <w:sz w:val="24"/>
          <w:szCs w:val="24"/>
        </w:rPr>
        <w:br/>
      </w:r>
      <w:r w:rsidRPr="00D402DA">
        <w:rPr>
          <w:rFonts w:cs="Arial"/>
          <w:color w:val="222222"/>
          <w:sz w:val="24"/>
          <w:szCs w:val="24"/>
        </w:rPr>
        <w:lastRenderedPageBreak/>
        <w:br/>
      </w:r>
      <w:r w:rsidRPr="00D402DA">
        <w:rPr>
          <w:rFonts w:cs="Arial"/>
          <w:bCs/>
          <w:color w:val="222222"/>
          <w:sz w:val="24"/>
          <w:szCs w:val="24"/>
          <w:bdr w:val="none" w:sz="0" w:space="0" w:color="auto" w:frame="1"/>
          <w:shd w:val="clear" w:color="auto" w:fill="FFFFFF"/>
        </w:rPr>
        <w:t>13. One-Third Muslim Ministers</w:t>
      </w:r>
      <w:r w:rsidRPr="00D402DA">
        <w:rPr>
          <w:rFonts w:cs="Arial"/>
          <w:color w:val="222222"/>
          <w:sz w:val="24"/>
          <w:szCs w:val="24"/>
        </w:rPr>
        <w:br/>
      </w:r>
      <w:r w:rsidRPr="00D402DA">
        <w:rPr>
          <w:rFonts w:cs="Arial"/>
          <w:color w:val="222222"/>
          <w:sz w:val="24"/>
          <w:szCs w:val="24"/>
          <w:shd w:val="clear" w:color="auto" w:fill="FFFFFF"/>
        </w:rPr>
        <w:t xml:space="preserve">No cabinet, either central or provincial be formed. </w:t>
      </w:r>
      <w:proofErr w:type="gramStart"/>
      <w:r w:rsidRPr="00D402DA">
        <w:rPr>
          <w:rFonts w:cs="Arial"/>
          <w:color w:val="222222"/>
          <w:sz w:val="24"/>
          <w:szCs w:val="24"/>
          <w:shd w:val="clear" w:color="auto" w:fill="FFFFFF"/>
        </w:rPr>
        <w:t>Without being a proportion of at least one-third Muslim Ministers.</w:t>
      </w:r>
      <w:proofErr w:type="gramEnd"/>
      <w:r w:rsidRPr="00D402DA">
        <w:rPr>
          <w:rFonts w:cs="Arial"/>
          <w:color w:val="222222"/>
          <w:sz w:val="24"/>
          <w:szCs w:val="24"/>
        </w:rPr>
        <w:br/>
      </w:r>
      <w:r w:rsidRPr="00D402DA">
        <w:rPr>
          <w:rFonts w:cs="Arial"/>
          <w:color w:val="222222"/>
          <w:sz w:val="24"/>
          <w:szCs w:val="24"/>
        </w:rPr>
        <w:br/>
      </w:r>
      <w:r w:rsidRPr="00D402DA">
        <w:rPr>
          <w:rFonts w:cs="Arial"/>
          <w:bCs/>
          <w:color w:val="222222"/>
          <w:sz w:val="24"/>
          <w:szCs w:val="24"/>
          <w:bdr w:val="none" w:sz="0" w:space="0" w:color="auto" w:frame="1"/>
          <w:shd w:val="clear" w:color="auto" w:fill="FFFFFF"/>
        </w:rPr>
        <w:t>14. Constitution</w:t>
      </w:r>
      <w:r w:rsidRPr="00D402DA">
        <w:rPr>
          <w:rFonts w:cs="Arial"/>
          <w:color w:val="222222"/>
          <w:sz w:val="24"/>
          <w:szCs w:val="24"/>
        </w:rPr>
        <w:br/>
      </w:r>
      <w:r w:rsidRPr="00D402DA">
        <w:rPr>
          <w:rFonts w:cs="Arial"/>
          <w:color w:val="222222"/>
          <w:sz w:val="24"/>
          <w:szCs w:val="24"/>
          <w:shd w:val="clear" w:color="auto" w:fill="FFFFFF"/>
        </w:rPr>
        <w:t>No change shall be made in the constitution of state except with the concurrence of State constituting the Indian Federation.</w:t>
      </w:r>
    </w:p>
    <w:sectPr w:rsidR="00D402DA" w:rsidRPr="00D402DA" w:rsidSect="00267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62843"/>
    <w:multiLevelType w:val="multilevel"/>
    <w:tmpl w:val="B50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Q0szAyNjcysTAxNjdT0lEKTi0uzszPAykwrAUA9AsipCwAAAA="/>
  </w:docVars>
  <w:rsids>
    <w:rsidRoot w:val="00D402DA"/>
    <w:rsid w:val="00267C2D"/>
    <w:rsid w:val="004B596C"/>
    <w:rsid w:val="00D402DA"/>
    <w:rsid w:val="00F52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2D"/>
  </w:style>
  <w:style w:type="paragraph" w:styleId="Heading1">
    <w:name w:val="heading 1"/>
    <w:basedOn w:val="Normal"/>
    <w:link w:val="Heading1Char"/>
    <w:uiPriority w:val="9"/>
    <w:qFormat/>
    <w:rsid w:val="00D402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2DA"/>
    <w:rPr>
      <w:color w:val="0000FF"/>
      <w:u w:val="single"/>
    </w:rPr>
  </w:style>
  <w:style w:type="character" w:customStyle="1" w:styleId="Heading1Char">
    <w:name w:val="Heading 1 Char"/>
    <w:basedOn w:val="DefaultParagraphFont"/>
    <w:link w:val="Heading1"/>
    <w:uiPriority w:val="9"/>
    <w:rsid w:val="00D402D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66842243">
      <w:bodyDiv w:val="1"/>
      <w:marLeft w:val="0"/>
      <w:marRight w:val="0"/>
      <w:marTop w:val="0"/>
      <w:marBottom w:val="0"/>
      <w:divBdr>
        <w:top w:val="none" w:sz="0" w:space="0" w:color="auto"/>
        <w:left w:val="none" w:sz="0" w:space="0" w:color="auto"/>
        <w:bottom w:val="none" w:sz="0" w:space="0" w:color="auto"/>
        <w:right w:val="none" w:sz="0" w:space="0" w:color="auto"/>
      </w:divBdr>
    </w:div>
    <w:div w:id="10550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ve_(government)" TargetMode="External"/><Relationship Id="rId13" Type="http://schemas.openxmlformats.org/officeDocument/2006/relationships/hyperlink" Target="https://en.wikipedia.org/wiki/Federalism_in_India" TargetMode="External"/><Relationship Id="rId18" Type="http://schemas.openxmlformats.org/officeDocument/2006/relationships/hyperlink" Target="https://en.wikipedia.org/wiki/States_Reorganisation_Commission" TargetMode="External"/><Relationship Id="rId26" Type="http://schemas.openxmlformats.org/officeDocument/2006/relationships/hyperlink" Target="https://en.wikipedia.org/wiki/Government_of_India_Act_1935" TargetMode="External"/><Relationship Id="rId3" Type="http://schemas.openxmlformats.org/officeDocument/2006/relationships/settings" Target="settings.xml"/><Relationship Id="rId21" Type="http://schemas.openxmlformats.org/officeDocument/2006/relationships/hyperlink" Target="https://en.wikipedia.org/wiki/Government_of_India_Act_1935" TargetMode="External"/><Relationship Id="rId7" Type="http://schemas.openxmlformats.org/officeDocument/2006/relationships/hyperlink" Target="https://en.wikipedia.org/wiki/Legislative" TargetMode="External"/><Relationship Id="rId12" Type="http://schemas.openxmlformats.org/officeDocument/2006/relationships/hyperlink" Target="https://en.wikipedia.org/wiki/Federalism_in_India" TargetMode="External"/><Relationship Id="rId17" Type="http://schemas.openxmlformats.org/officeDocument/2006/relationships/hyperlink" Target="https://en.wikipedia.org/wiki/Supreme_Court_of_India" TargetMode="External"/><Relationship Id="rId25" Type="http://schemas.openxmlformats.org/officeDocument/2006/relationships/hyperlink" Target="https://en.wikipedia.org/wiki/Round_Table_Conferences_(India)" TargetMode="External"/><Relationship Id="rId2" Type="http://schemas.openxmlformats.org/officeDocument/2006/relationships/styles" Target="styles.xml"/><Relationship Id="rId16" Type="http://schemas.openxmlformats.org/officeDocument/2006/relationships/hyperlink" Target="https://en.wikipedia.org/wiki/Federation" TargetMode="External"/><Relationship Id="rId20" Type="http://schemas.openxmlformats.org/officeDocument/2006/relationships/hyperlink" Target="https://en.wikipedia.org/wiki/Minorities" TargetMode="External"/><Relationship Id="rId29" Type="http://schemas.openxmlformats.org/officeDocument/2006/relationships/hyperlink" Target="https://genius.com/Muhammad-ali-jinnah-fourteen-points-of-jinnah-annotated" TargetMode="External"/><Relationship Id="rId1" Type="http://schemas.openxmlformats.org/officeDocument/2006/relationships/numbering" Target="numbering.xml"/><Relationship Id="rId6" Type="http://schemas.openxmlformats.org/officeDocument/2006/relationships/hyperlink" Target="http://cadindia.clpr.org.in/historical_constitutions/karachi_resolution__1931__1st%20January%201931" TargetMode="External"/><Relationship Id="rId11" Type="http://schemas.openxmlformats.org/officeDocument/2006/relationships/hyperlink" Target="https://en.wikipedia.org/wiki/Citizens" TargetMode="External"/><Relationship Id="rId24" Type="http://schemas.openxmlformats.org/officeDocument/2006/relationships/hyperlink" Target="https://en.wikipedia.org/wiki/Simon_Commission" TargetMode="External"/><Relationship Id="rId32" Type="http://schemas.openxmlformats.org/officeDocument/2006/relationships/theme" Target="theme/theme1.xml"/><Relationship Id="rId5" Type="http://schemas.openxmlformats.org/officeDocument/2006/relationships/hyperlink" Target="https://en.wikipedia.org/wiki/Government_of_India_Act_1935" TargetMode="External"/><Relationship Id="rId15" Type="http://schemas.openxmlformats.org/officeDocument/2006/relationships/hyperlink" Target="https://en.wikipedia.org/wiki/Unitary_state" TargetMode="External"/><Relationship Id="rId23" Type="http://schemas.openxmlformats.org/officeDocument/2006/relationships/hyperlink" Target="https://en.wikipedia.org/wiki/Nehru_Report" TargetMode="External"/><Relationship Id="rId28" Type="http://schemas.openxmlformats.org/officeDocument/2006/relationships/hyperlink" Target="https://genius.com/Muhammad-ali-jinnah-fourteen-points-of-jinnah-annotated" TargetMode="External"/><Relationship Id="rId10" Type="http://schemas.openxmlformats.org/officeDocument/2006/relationships/hyperlink" Target="https://en.wikipedia.org/wiki/State_religion" TargetMode="External"/><Relationship Id="rId19" Type="http://schemas.openxmlformats.org/officeDocument/2006/relationships/hyperlink" Target="https://en.wikipedia.org/wiki/Reserved_political_positions_in_Indi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udicial" TargetMode="External"/><Relationship Id="rId14" Type="http://schemas.openxmlformats.org/officeDocument/2006/relationships/hyperlink" Target="https://en.wikipedia.org/wiki/Union_List" TargetMode="External"/><Relationship Id="rId22" Type="http://schemas.openxmlformats.org/officeDocument/2006/relationships/hyperlink" Target="https://en.wikipedia.org/wiki/Minorities" TargetMode="External"/><Relationship Id="rId27" Type="http://schemas.openxmlformats.org/officeDocument/2006/relationships/hyperlink" Target="https://genius.com/Muhammad-ali-jinnah-fourteen-points-of-jinnah-annotated" TargetMode="External"/><Relationship Id="rId30" Type="http://schemas.openxmlformats.org/officeDocument/2006/relationships/hyperlink" Target="https://genius.com/Muhammad-ali-jinnah-fourteen-points-of-jinnah-annot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3</cp:revision>
  <dcterms:created xsi:type="dcterms:W3CDTF">2021-11-21T11:37:00Z</dcterms:created>
  <dcterms:modified xsi:type="dcterms:W3CDTF">2021-11-21T12:08:00Z</dcterms:modified>
</cp:coreProperties>
</file>