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ИНЖИНИРИНГ», ОГРН 1203600014936, ИНН 3661175781, именуемое в дальнейшем «Поставщик», в лице генеральный директор Уляшов Сергей Владимирович,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1203600014936, ИНН 3661175781, именуемое в дальнейшем «ПОКУПАТЕЛЬ», в лице директор Ермолаев Вадим Михайлович, действующего на основании ustav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611404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626"/>
        <w:gridCol w:w="4683"/>
      </w:tblGrid>
      <w:tr w:rsidR="001F36F3" w:rsidRPr="00C71C21" w:rsidTr="004D6B3F">
        <w:trPr>
          <w:trHeight w:val="301"/>
        </w:trPr>
        <w:tc>
          <w:tcPr>
            <w:tcW w:w="4626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683" w:type="dxa"/>
          </w:tcPr>
          <w:p w:rsidR="001F36F3" w:rsidRPr="00C71C21" w:rsidRDefault="001F36F3" w:rsidP="004D6B3F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ПОКУПАТЕЛЬ</w:t>
            </w:r>
          </w:p>
        </w:tc>
      </w:tr>
      <w:tr w:rsidR="00284FBB" w:rsidRPr="00C71C21" w:rsidTr="004D6B3F">
        <w:trPr>
          <w:trHeight w:val="301"/>
        </w:trPr>
        <w:tc>
          <w:tcPr>
            <w:tcW w:w="4626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683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F418F9" w:rsidRPr="007636A4" w:rsidTr="004D6B3F">
        <w:trPr>
          <w:trHeight w:val="568"/>
        </w:trPr>
        <w:tc>
          <w:tcPr>
            <w:tcW w:w="4626" w:type="dxa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«ПАЛАНИ ИНЖИНИРИНГ»</w:t>
            </w:r>
          </w:p>
        </w:tc>
        <w:tc>
          <w:tcPr>
            <w:tcW w:w="4683" w:type="dxa"/>
          </w:tcPr>
          <w:p w:rsidR="00F418F9" w:rsidRPr="004F1AB1" w:rsidRDefault="00F418F9" w:rsidP="004F1AB1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  <w:p w:rsidR="00F418F9" w:rsidRPr="004F1AB1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«Фарм-Логистик»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ИНН 3661175781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ИНН 3661175781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КПП 36660100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КПП  12423234456</w:t>
            </w:r>
          </w:p>
        </w:tc>
      </w:tr>
      <w:tr w:rsidR="004F1AB1" w:rsidRPr="007636A4" w:rsidTr="004D6B3F">
        <w:trPr>
          <w:trHeight w:val="180"/>
        </w:trPr>
        <w:tc>
          <w:tcPr>
            <w:tcW w:w="4626" w:type="dxa"/>
          </w:tcPr>
          <w:p w:rsidR="004F1AB1" w:rsidRPr="007D3C2A" w:rsidRDefault="004F1AB1" w:rsidP="006A4B9E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Р/с 40702810402940012670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t>Р/с 40702810402940012670</w:t>
            </w:r>
          </w:p>
        </w:tc>
      </w:tr>
      <w:tr w:rsidR="004F1AB1" w:rsidRPr="007636A4" w:rsidTr="004D6B3F">
        <w:trPr>
          <w:trHeight w:val="427"/>
        </w:trPr>
        <w:tc>
          <w:tcPr>
            <w:tcW w:w="4626" w:type="dxa"/>
          </w:tcPr>
          <w:p w:rsidR="004F1AB1" w:rsidRPr="004F1AB1" w:rsidRDefault="004F1AB1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ЦЕНТРАЛЬНО-ЧЕРНОЗЕМНЫЙ БАНК ПАО СБЕРБАНК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lang w:val="en-US" w:eastAsia="ru-RU"/>
              </w:rPr>
            </w:pPr>
            <w:r>
              <w:t>Западно-Сибирский банк ПАО Сбербанк России г. Тюмень</w:t>
            </w:r>
          </w:p>
        </w:tc>
      </w:tr>
      <w:tr w:rsidR="00F418F9" w:rsidRPr="007636A4" w:rsidTr="004D6B3F">
        <w:trPr>
          <w:trHeight w:val="267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БИК 042007681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БИК 042007681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7D3C2A" w:rsidRDefault="00F418F9" w:rsidP="00495D2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Корр. счет 30101810800000000651</w:t>
            </w:r>
          </w:p>
        </w:tc>
        <w:tc>
          <w:tcPr>
            <w:tcW w:w="4683" w:type="dxa"/>
          </w:tcPr>
          <w:p w:rsidR="00F418F9" w:rsidRPr="007636A4" w:rsidRDefault="004F1AB1" w:rsidP="008910FD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Корр. счет 30101810600000000681</w:t>
            </w:r>
          </w:p>
        </w:tc>
      </w:tr>
      <w:tr w:rsidR="00F418F9" w:rsidRPr="007636A4" w:rsidTr="004D6B3F">
        <w:trPr>
          <w:trHeight w:val="525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t>Юр. адрес: г.Воронеж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Юр. адрес: Тюмень</w:t>
            </w: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>
        <w:t xml:space="preserve"> e-mail: ms@1dvm.ru </w:t>
        <w:tab/>
        <w:tab/>
        <w:tab/>
        <w:tab/>
        <w:t xml:space="preserve">             e-mail: montajservicet@mail.ru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>
        <w:t xml:space="preserve"> генеральный директор:</w:t>
        <w:tab/>
        <w:tab/>
        <w:tab/>
        <w:tab/>
        <w:t xml:space="preserve">             директор: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61140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>
        <w:t xml:space="preserve">  _____________    Уляшов Сергей Владимирович</w:t>
        <w:tab/>
        <w:t xml:space="preserve">                        _____________   Ермолаев Вадим Михайлович</w:t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4F1AB1" w:rsidRDefault="004F1AB1" w:rsidP="004F1AB1">
      <w:pPr>
        <w:tabs>
          <w:tab w:val="num" w:pos="0"/>
        </w:tabs>
        <w:jc w:val="both"/>
        <w:rPr>
          <w:rFonts w:ascii="Times New Roman" w:hAnsi="Times New Roman"/>
          <w:b/>
          <w:szCs w:val="24"/>
          <w:lang w:eastAsia="ru-RU"/>
        </w:rPr>
      </w:pPr>
    </w:p>
    <w:p w:rsidR="0038560A" w:rsidRPr="004F1AB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  <w:lang w:val="en-US"/>
        </w:rPr>
      </w:pPr>
    </w:p>
    <w:sectPr w:rsidR="0038560A" w:rsidRPr="004F1AB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7" w:rsidRDefault="00D44C17" w:rsidP="00444C6E">
      <w:pPr>
        <w:spacing w:line="240" w:lineRule="auto"/>
      </w:pPr>
      <w:r>
        <w:separator/>
      </w:r>
    </w:p>
  </w:endnote>
  <w:endnote w:type="continuationSeparator" w:id="0">
    <w:p w:rsidR="00D44C17" w:rsidRDefault="00D44C17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7" w:rsidRDefault="00D44C17" w:rsidP="00444C6E">
      <w:pPr>
        <w:spacing w:line="240" w:lineRule="auto"/>
      </w:pPr>
      <w:r>
        <w:separator/>
      </w:r>
    </w:p>
  </w:footnote>
  <w:footnote w:type="continuationSeparator" w:id="0">
    <w:p w:rsidR="00D44C17" w:rsidRDefault="00D44C17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D6163"/>
    <w:rsid w:val="001E0277"/>
    <w:rsid w:val="001E4D50"/>
    <w:rsid w:val="001E5F3B"/>
    <w:rsid w:val="001F36F3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165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70110F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4C17"/>
    <w:rsid w:val="00D45940"/>
    <w:rsid w:val="00D464FD"/>
    <w:rsid w:val="00D53931"/>
    <w:rsid w:val="00D61A1E"/>
    <w:rsid w:val="00D70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9362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0C291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5CE-0F5C-4E22-872E-04032EE2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24908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10</cp:revision>
  <cp:lastPrinted>2024-07-18T10:49:00Z</cp:lastPrinted>
  <dcterms:created xsi:type="dcterms:W3CDTF">2024-11-06T13:30:00Z</dcterms:created>
  <dcterms:modified xsi:type="dcterms:W3CDTF">2024-11-06T14:32:00Z</dcterms:modified>
</cp:coreProperties>
</file>