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Author(s), version #,  date created, and date updated will all be in the top left corner (listed in that order).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Title will be size 24 and underlined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will be Times New Roman throughout the whole document. We are using 1” margins. Font will always be black. Page number will go in the bottom left corner.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Title with the above information will have its own separate page.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Table Of Contents will be size 14 and underlined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have the name of the content on the left and the page number of the content of the right.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Table of Contents ends will will move on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section referred to is ‘Audience’. Here we will state who is intended to read this document and they should use the document at their own discretion.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Distribution List will be a short list of people we will be handing the document out to and will be listed after Audience.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will we discussed after audience and distribution list.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Introduction will start next.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title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Sections will be bold, Underlined, and size 14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titles of the Standard sub Sections inside each section will be bold and size 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section should be specified in the table of contents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document will contain a summary at the end.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revision list or any document will be available on GitHub which keeps track of who revises a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References used will be listed after the document 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thing in the document will be an Index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will end.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Addressing issues that don’t pertain to the format: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Released this way: The responsibility of writing documents is shared by everyone (each person will write about what they worked on), and at least one other person has to review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 on GitHub.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release of documents happens all group members are notified. They are released via Dropbox or paper format to company representative.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