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F172A"/>
          <w:sz w:val="36"/>
        </w:rPr>
        <w:t>Enterprise-Scale Real-Time Streaming &amp; Batch Lakehouse on Google Cloud Platform</w:t>
      </w:r>
    </w:p>
    <w:p>
      <w:pPr>
        <w:spacing w:before="0" w:after="240"/>
      </w:pPr>
      <w:r>
        <w:rPr>
          <w:rFonts w:ascii="Calibri" w:hAnsi="Calibri"/>
          <w:i/>
          <w:color w:val="475569"/>
          <w:sz w:val="21"/>
        </w:rPr>
        <w:t>Dokumentasi Arsitektur Portofolio &amp; Panduan Implementasi Selaras Google Cloud Professional Data Engineer (GCP PDE)</w:t>
      </w:r>
    </w:p>
    <w:tbl>
      <w:tblPr>
        <w:tblW w:type="auto" w:w="0"/>
        <w:jc w:val="center"/>
        <w:tblLayout w:type="fixed"/>
        <w:tblLook w:firstColumn="1" w:firstRow="1" w:lastColumn="0" w:lastRow="0" w:noHBand="0" w:noVBand="1" w:val="04A0"/>
      </w:tblPr>
      <w:tblGrid>
        <w:gridCol w:w="4802"/>
        <w:gridCol w:w="4802"/>
      </w:tblGrid>
      <w:tr>
        <w:tc>
          <w:tcPr>
            <w:tcW w:type="dxa" w:w="3168"/>
            <w:shd w:fill="F8FAFC"/>
            <w:tcMar>
              <w:top w:w="60" w:type="dxa"/>
              <w:bottom w:w="60" w:type="dxa"/>
              <w:left w:w="100" w:type="dxa"/>
              <w:right w:w="100" w:type="dxa"/>
            </w:tcMar>
          </w:tcPr>
          <w:p>
            <w:pPr>
              <w:spacing w:after="0"/>
            </w:pPr>
            <w:r>
              <w:rPr>
                <w:rFonts w:ascii="Calibri" w:hAnsi="Calibri"/>
                <w:b/>
                <w:color w:val="0F172A"/>
                <w:sz w:val="18"/>
              </w:rPr>
              <w:t>Target Sertifikasi</w:t>
            </w:r>
          </w:p>
        </w:tc>
        <w:tc>
          <w:tcPr>
            <w:tcW w:type="dxa" w:w="6437"/>
            <w:shd w:fill="F8FAFC"/>
            <w:tcMar>
              <w:top w:w="60" w:type="dxa"/>
              <w:bottom w:w="60" w:type="dxa"/>
              <w:left w:w="100" w:type="dxa"/>
              <w:right w:w="100" w:type="dxa"/>
            </w:tcMar>
          </w:tcPr>
          <w:p>
            <w:pPr>
              <w:spacing w:after="0"/>
            </w:pPr>
            <w:r>
              <w:rPr>
                <w:rFonts w:ascii="Calibri" w:hAnsi="Calibri"/>
                <w:color w:val="1E293B"/>
                <w:sz w:val="18"/>
              </w:rPr>
              <w:t>Google Cloud Professional Data Engineer (GCP PDE)</w:t>
            </w:r>
          </w:p>
        </w:tc>
      </w:tr>
      <w:tr>
        <w:tc>
          <w:tcPr>
            <w:tcW w:type="dxa" w:w="3168"/>
            <w:shd w:fill="F8FAFC"/>
            <w:tcMar>
              <w:top w:w="60" w:type="dxa"/>
              <w:bottom w:w="60" w:type="dxa"/>
              <w:left w:w="100" w:type="dxa"/>
              <w:right w:w="100" w:type="dxa"/>
            </w:tcMar>
          </w:tcPr>
          <w:p>
            <w:pPr>
              <w:spacing w:after="0"/>
            </w:pPr>
            <w:r>
              <w:rPr>
                <w:rFonts w:ascii="Calibri" w:hAnsi="Calibri"/>
                <w:b/>
                <w:color w:val="0F172A"/>
                <w:sz w:val="18"/>
              </w:rPr>
              <w:t>Komponen Utama</w:t>
            </w:r>
          </w:p>
        </w:tc>
        <w:tc>
          <w:tcPr>
            <w:tcW w:type="dxa" w:w="6437"/>
            <w:shd w:fill="F8FAFC"/>
            <w:tcMar>
              <w:top w:w="60" w:type="dxa"/>
              <w:bottom w:w="60" w:type="dxa"/>
              <w:left w:w="100" w:type="dxa"/>
              <w:right w:w="100" w:type="dxa"/>
            </w:tcMar>
          </w:tcPr>
          <w:p>
            <w:pPr>
              <w:spacing w:after="0"/>
            </w:pPr>
            <w:r>
              <w:rPr>
                <w:rFonts w:ascii="Calibri" w:hAnsi="Calibri"/>
                <w:color w:val="1E293B"/>
                <w:sz w:val="18"/>
              </w:rPr>
              <w:t>Cloud Pub/Sub, Cloud Dataflow (Apache Beam), BigQuery, Cloud Composer (Airflow), Dataplex, Cloud DLP, BigQuery ML, Terraform</w:t>
            </w:r>
          </w:p>
        </w:tc>
      </w:tr>
      <w:tr>
        <w:tc>
          <w:tcPr>
            <w:tcW w:type="dxa" w:w="3168"/>
            <w:shd w:fill="F8FAFC"/>
            <w:tcMar>
              <w:top w:w="60" w:type="dxa"/>
              <w:bottom w:w="60" w:type="dxa"/>
              <w:left w:w="100" w:type="dxa"/>
              <w:right w:w="100" w:type="dxa"/>
            </w:tcMar>
          </w:tcPr>
          <w:p>
            <w:pPr>
              <w:spacing w:after="0"/>
            </w:pPr>
            <w:r>
              <w:rPr>
                <w:rFonts w:ascii="Calibri" w:hAnsi="Calibri"/>
                <w:b/>
                <w:color w:val="0F172A"/>
                <w:sz w:val="18"/>
              </w:rPr>
              <w:t>Fokus Kasus Industri</w:t>
            </w:r>
          </w:p>
        </w:tc>
        <w:tc>
          <w:tcPr>
            <w:tcW w:type="dxa" w:w="6437"/>
            <w:shd w:fill="F8FAFC"/>
            <w:tcMar>
              <w:top w:w="60" w:type="dxa"/>
              <w:bottom w:w="60" w:type="dxa"/>
              <w:left w:w="100" w:type="dxa"/>
              <w:right w:w="100" w:type="dxa"/>
            </w:tcMar>
          </w:tcPr>
          <w:p>
            <w:pPr>
              <w:spacing w:after="0"/>
            </w:pPr>
            <w:r>
              <w:rPr>
                <w:rFonts w:ascii="Calibri" w:hAnsi="Calibri"/>
                <w:color w:val="1E293B"/>
                <w:sz w:val="18"/>
              </w:rPr>
              <w:t>E-Commerce Real-Time Clickstream &amp; Daily Transaction Analytics Lakehouse</w:t>
            </w:r>
          </w:p>
        </w:tc>
      </w:tr>
    </w:tbl>
    <w:p>
      <w:pPr>
        <w:spacing w:after="80"/>
      </w:pPr>
    </w:p>
    <w:p>
      <w:pPr>
        <w:keepNext/>
        <w:spacing w:before="320" w:after="120"/>
      </w:pPr>
      <w:r>
        <w:rPr>
          <w:rFonts w:ascii="Calibri" w:hAnsi="Calibri"/>
          <w:b/>
          <w:color w:val="0F172A"/>
          <w:sz w:val="28"/>
        </w:rPr>
        <w:t>1. Executive Summary &amp; Business Problem</w:t>
      </w:r>
    </w:p>
    <w:p>
      <w:pPr>
        <w:spacing w:before="0" w:after="80" w:line="276" w:lineRule="auto"/>
      </w:pPr>
      <w:r>
        <w:rPr>
          <w:rFonts w:ascii="Calibri" w:hAnsi="Calibri"/>
          <w:i w:val="0"/>
          <w:color w:val="1E293B"/>
          <w:sz w:val="20"/>
        </w:rPr>
        <w:t>Perusahaan E-Commerce modern menghadapi tantangan pemrosesan data bervolume tinggi, mulai dari ratusan ribu interaksi klik pengguna (clickstream) per detik yang membutuhkan analitik real-time, hingga rekonsiliasi data transaksi harian berskala jutaan baris dari database operasional ke dalam satu repositori terpusat.</w:t>
      </w:r>
    </w:p>
    <w:tbl>
      <w:tblPr>
        <w:tblW w:type="auto" w:w="0"/>
        <w:jc w:val="center"/>
        <w:tblLayout w:type="fixed"/>
        <w:tblLook w:firstColumn="1" w:firstRow="1" w:lastColumn="0" w:lastRow="0" w:noHBand="0" w:noVBand="1" w:val="04A0"/>
      </w:tblPr>
      <w:tblGrid>
        <w:gridCol w:w="9605"/>
      </w:tblGrid>
      <w:tr>
        <w:tc>
          <w:tcPr>
            <w:tcW w:type="dxa" w:w="9605"/>
            <w:shd w:fill="EFF6FF"/>
            <w:tcMar>
              <w:top w:w="120" w:type="dxa"/>
              <w:bottom w:w="120" w:type="dxa"/>
              <w:left w:w="180" w:type="dxa"/>
              <w:right w:w="180" w:type="dxa"/>
            </w:tcMar>
            <w:tcBorders>
              <w:top w:val="none"/>
              <w:left w:val="single" w:sz="24" w:space="0" w:color="2563EB"/>
              <w:bottom w:val="none"/>
              <w:right w:val="none"/>
            </w:tcBorders>
          </w:tcPr>
          <w:p>
            <w:pPr>
              <w:spacing w:before="0" w:after="40"/>
            </w:pPr>
            <w:r>
              <w:rPr>
                <w:rFonts w:ascii="Calibri" w:hAnsi="Calibri"/>
                <w:b/>
                <w:color w:val="2563EB"/>
                <w:sz w:val="20"/>
              </w:rPr>
              <w:t>🎯 Ringkasan Solusi Bisnis &amp; Rekayasa Data:</w:t>
              <w:br/>
            </w:r>
            <w:r>
              <w:rPr>
                <w:rFonts w:ascii="Calibri" w:hAnsi="Calibri"/>
                <w:color w:val="1E293B"/>
                <w:sz w:val="19"/>
              </w:rPr>
              <w:t>Proyek ini merancang dan mengimplementasikan arsitektur Modern Data Lakehouse berbasis Google Cloud Platform (GCP) yang mengintegrasikan ingestion hybrid (streaming via Dataflow dan batch via Cloud Composer), optimasi penyimpanan data BigQuery dengan partisi/clustering, penegakan tata kelola data sensitif (PII masking via Cloud DLP &amp; Dataplex), serta pembuatan model machine learning in-warehouse menggunakan BigQuery ML.</w:t>
            </w:r>
          </w:p>
        </w:tc>
      </w:tr>
    </w:tbl>
    <w:p>
      <w:pPr>
        <w:spacing w:before="0" w:after="80"/>
      </w:pPr>
    </w:p>
    <w:p>
      <w:pPr>
        <w:keepNext/>
        <w:spacing w:before="320" w:after="120"/>
      </w:pPr>
      <w:r>
        <w:rPr>
          <w:rFonts w:ascii="Calibri" w:hAnsi="Calibri"/>
          <w:b/>
          <w:color w:val="0F172A"/>
          <w:sz w:val="28"/>
        </w:rPr>
        <w:t>2. Pemetaan Domain Ujian Google Cloud Professional Data Engineer (PDE)</w:t>
      </w:r>
    </w:p>
    <w:p>
      <w:pPr>
        <w:spacing w:before="0" w:after="80" w:line="276" w:lineRule="auto"/>
      </w:pPr>
      <w:r>
        <w:rPr>
          <w:rFonts w:ascii="Calibri" w:hAnsi="Calibri"/>
          <w:i w:val="0"/>
          <w:color w:val="1E293B"/>
          <w:sz w:val="20"/>
        </w:rPr>
        <w:t>Seluruh arsitektur dan komponen yang dibangun dalam portofolio ini mencakup 4 pilar utama yang diuji dalam sertifikasi resmi Google Cloud Professional Data Engineer:</w:t>
      </w:r>
    </w:p>
    <w:tbl>
      <w:tblPr>
        <w:tblW w:type="auto" w:w="0"/>
        <w:jc w:val="center"/>
        <w:tblLayout w:type="fixed"/>
        <w:tblLook w:firstColumn="1" w:firstRow="1" w:lastColumn="0" w:lastRow="0" w:noHBand="0" w:noVBand="1" w:val="04A0"/>
      </w:tblPr>
      <w:tblGrid>
        <w:gridCol w:w="3202"/>
        <w:gridCol w:w="3202"/>
        <w:gridCol w:w="3202"/>
      </w:tblGrid>
      <w:tr>
        <w:tc>
          <w:tcPr>
            <w:tcW w:type="dxa" w:w="3024"/>
            <w:shd w:fill="0F172A"/>
            <w:tcMar>
              <w:top w:w="80" w:type="dxa"/>
              <w:bottom w:w="80" w:type="dxa"/>
              <w:left w:w="100" w:type="dxa"/>
              <w:right w:w="100" w:type="dxa"/>
            </w:tcMar>
          </w:tcPr>
          <w:p>
            <w:pPr>
              <w:spacing w:after="0"/>
            </w:pPr>
            <w:r>
              <w:rPr>
                <w:rFonts w:ascii="Calibri" w:hAnsi="Calibri"/>
                <w:b/>
                <w:color w:val="FFFFFF"/>
                <w:sz w:val="18"/>
              </w:rPr>
              <w:t>Domain Sertifikasi GCP PDE</w:t>
            </w:r>
          </w:p>
        </w:tc>
        <w:tc>
          <w:tcPr>
            <w:tcW w:type="dxa" w:w="4032"/>
            <w:shd w:fill="0F172A"/>
            <w:tcMar>
              <w:top w:w="80" w:type="dxa"/>
              <w:bottom w:w="80" w:type="dxa"/>
              <w:left w:w="100" w:type="dxa"/>
              <w:right w:w="100" w:type="dxa"/>
            </w:tcMar>
          </w:tcPr>
          <w:p>
            <w:pPr>
              <w:spacing w:after="0"/>
            </w:pPr>
            <w:r>
              <w:rPr>
                <w:rFonts w:ascii="Calibri" w:hAnsi="Calibri"/>
                <w:b/>
                <w:color w:val="FFFFFF"/>
                <w:sz w:val="18"/>
              </w:rPr>
              <w:t>Implementasi Teknis Proyek</w:t>
            </w:r>
          </w:p>
        </w:tc>
        <w:tc>
          <w:tcPr>
            <w:tcW w:type="dxa" w:w="2549"/>
            <w:shd w:fill="0F172A"/>
            <w:tcMar>
              <w:top w:w="80" w:type="dxa"/>
              <w:bottom w:w="80" w:type="dxa"/>
              <w:left w:w="100" w:type="dxa"/>
              <w:right w:w="100" w:type="dxa"/>
            </w:tcMar>
          </w:tcPr>
          <w:p>
            <w:pPr>
              <w:spacing w:after="0"/>
            </w:pPr>
            <w:r>
              <w:rPr>
                <w:rFonts w:ascii="Calibri" w:hAnsi="Calibri"/>
                <w:b/>
                <w:color w:val="FFFFFF"/>
                <w:sz w:val="18"/>
              </w:rPr>
              <w:t>Layanan GCP Terkait</w:t>
            </w:r>
          </w:p>
        </w:tc>
      </w:tr>
      <w:tr>
        <w:tc>
          <w:tcPr>
            <w:tcW w:type="dxa" w:w="3024"/>
            <w:shd w:fill="F8FAFC"/>
            <w:tcMar>
              <w:top w:w="60" w:type="dxa"/>
              <w:bottom w:w="60" w:type="dxa"/>
              <w:left w:w="100" w:type="dxa"/>
              <w:right w:w="100" w:type="dxa"/>
            </w:tcMar>
          </w:tcPr>
          <w:p>
            <w:pPr>
              <w:spacing w:after="0"/>
            </w:pPr>
            <w:r>
              <w:rPr>
                <w:rFonts w:ascii="Calibri" w:hAnsi="Calibri"/>
                <w:color w:val="1E293B"/>
                <w:sz w:val="17"/>
              </w:rPr>
              <w:t>Domain 1: Designing Data Processing Systems</w:t>
            </w:r>
          </w:p>
        </w:tc>
        <w:tc>
          <w:tcPr>
            <w:tcW w:type="dxa" w:w="4032"/>
            <w:shd w:fill="F8FAFC"/>
            <w:tcMar>
              <w:top w:w="60" w:type="dxa"/>
              <w:bottom w:w="60" w:type="dxa"/>
              <w:left w:w="100" w:type="dxa"/>
              <w:right w:w="100" w:type="dxa"/>
            </w:tcMar>
          </w:tcPr>
          <w:p>
            <w:pPr>
              <w:spacing w:after="0"/>
            </w:pPr>
            <w:r>
              <w:rPr>
                <w:rFonts w:ascii="Calibri" w:hAnsi="Calibri"/>
                <w:color w:val="1E293B"/>
                <w:sz w:val="17"/>
              </w:rPr>
              <w:t>Desain arsitektur hybrid streaming/batch, penanganan late-arriving data, toleransi kegagalan, dan pemilihan media data store optimal.</w:t>
            </w:r>
          </w:p>
        </w:tc>
        <w:tc>
          <w:tcPr>
            <w:tcW w:type="dxa" w:w="2549"/>
            <w:shd w:fill="F8FAFC"/>
            <w:tcMar>
              <w:top w:w="60" w:type="dxa"/>
              <w:bottom w:w="60" w:type="dxa"/>
              <w:left w:w="100" w:type="dxa"/>
              <w:right w:w="100" w:type="dxa"/>
            </w:tcMar>
          </w:tcPr>
          <w:p>
            <w:pPr>
              <w:spacing w:after="0"/>
            </w:pPr>
            <w:r>
              <w:rPr>
                <w:rFonts w:ascii="Calibri" w:hAnsi="Calibri"/>
                <w:color w:val="1E293B"/>
                <w:sz w:val="17"/>
              </w:rPr>
              <w:t>Cloud Pub/Sub, Cloud Storage, Bigtable</w:t>
            </w:r>
          </w:p>
        </w:tc>
      </w:tr>
      <w:tr>
        <w:tc>
          <w:tcPr>
            <w:tcW w:type="dxa" w:w="3024"/>
            <w:shd w:fill="FFFFFF"/>
            <w:tcMar>
              <w:top w:w="60" w:type="dxa"/>
              <w:bottom w:w="60" w:type="dxa"/>
              <w:left w:w="100" w:type="dxa"/>
              <w:right w:w="100" w:type="dxa"/>
            </w:tcMar>
          </w:tcPr>
          <w:p>
            <w:pPr>
              <w:spacing w:after="0"/>
            </w:pPr>
            <w:r>
              <w:rPr>
                <w:rFonts w:ascii="Calibri" w:hAnsi="Calibri"/>
                <w:color w:val="1E293B"/>
                <w:sz w:val="17"/>
              </w:rPr>
              <w:t>Domain 2: Ingestion &amp; Transformation</w:t>
            </w:r>
          </w:p>
        </w:tc>
        <w:tc>
          <w:tcPr>
            <w:tcW w:type="dxa" w:w="4032"/>
            <w:shd w:fill="FFFFFF"/>
            <w:tcMar>
              <w:top w:w="60" w:type="dxa"/>
              <w:bottom w:w="60" w:type="dxa"/>
              <w:left w:w="100" w:type="dxa"/>
              <w:right w:w="100" w:type="dxa"/>
            </w:tcMar>
          </w:tcPr>
          <w:p>
            <w:pPr>
              <w:spacing w:after="0"/>
            </w:pPr>
            <w:r>
              <w:rPr>
                <w:rFonts w:ascii="Calibri" w:hAnsi="Calibri"/>
                <w:color w:val="1E293B"/>
                <w:sz w:val="17"/>
              </w:rPr>
              <w:t>Stateful stream processing (Apache Beam) dengan Sliding Windows &amp; Watermarks, orkestrasi batch DAGs terotomatisasi.</w:t>
            </w:r>
          </w:p>
        </w:tc>
        <w:tc>
          <w:tcPr>
            <w:tcW w:type="dxa" w:w="2549"/>
            <w:shd w:fill="FFFFFF"/>
            <w:tcMar>
              <w:top w:w="60" w:type="dxa"/>
              <w:bottom w:w="60" w:type="dxa"/>
              <w:left w:w="100" w:type="dxa"/>
              <w:right w:w="100" w:type="dxa"/>
            </w:tcMar>
          </w:tcPr>
          <w:p>
            <w:pPr>
              <w:spacing w:after="0"/>
            </w:pPr>
            <w:r>
              <w:rPr>
                <w:rFonts w:ascii="Calibri" w:hAnsi="Calibri"/>
                <w:color w:val="1E293B"/>
                <w:sz w:val="17"/>
              </w:rPr>
              <w:t>Cloud Dataflow, Cloud Composer (Airflow)</w:t>
            </w:r>
          </w:p>
        </w:tc>
      </w:tr>
      <w:tr>
        <w:tc>
          <w:tcPr>
            <w:tcW w:type="dxa" w:w="3024"/>
            <w:shd w:fill="F8FAFC"/>
            <w:tcMar>
              <w:top w:w="60" w:type="dxa"/>
              <w:bottom w:w="60" w:type="dxa"/>
              <w:left w:w="100" w:type="dxa"/>
              <w:right w:w="100" w:type="dxa"/>
            </w:tcMar>
          </w:tcPr>
          <w:p>
            <w:pPr>
              <w:spacing w:after="0"/>
            </w:pPr>
            <w:r>
              <w:rPr>
                <w:rFonts w:ascii="Calibri" w:hAnsi="Calibri"/>
                <w:color w:val="1E293B"/>
                <w:sz w:val="17"/>
              </w:rPr>
              <w:t>Domain 3: Storing &amp; Modeling Data</w:t>
            </w:r>
          </w:p>
        </w:tc>
        <w:tc>
          <w:tcPr>
            <w:tcW w:type="dxa" w:w="4032"/>
            <w:shd w:fill="F8FAFC"/>
            <w:tcMar>
              <w:top w:w="60" w:type="dxa"/>
              <w:bottom w:w="60" w:type="dxa"/>
              <w:left w:w="100" w:type="dxa"/>
              <w:right w:w="100" w:type="dxa"/>
            </w:tcMar>
          </w:tcPr>
          <w:p>
            <w:pPr>
              <w:spacing w:after="0"/>
            </w:pPr>
            <w:r>
              <w:rPr>
                <w:rFonts w:ascii="Calibri" w:hAnsi="Calibri"/>
                <w:color w:val="1E293B"/>
                <w:sz w:val="17"/>
              </w:rPr>
              <w:t>Arsitektur Medallion (Bronze/Silver/Gold), partisi waktu harian, multi-column clustering, dan materialized views.</w:t>
            </w:r>
          </w:p>
        </w:tc>
        <w:tc>
          <w:tcPr>
            <w:tcW w:type="dxa" w:w="2549"/>
            <w:shd w:fill="F8FAFC"/>
            <w:tcMar>
              <w:top w:w="60" w:type="dxa"/>
              <w:bottom w:w="60" w:type="dxa"/>
              <w:left w:w="100" w:type="dxa"/>
              <w:right w:w="100" w:type="dxa"/>
            </w:tcMar>
          </w:tcPr>
          <w:p>
            <w:pPr>
              <w:spacing w:after="0"/>
            </w:pPr>
            <w:r>
              <w:rPr>
                <w:rFonts w:ascii="Calibri" w:hAnsi="Calibri"/>
                <w:color w:val="1E293B"/>
                <w:sz w:val="17"/>
              </w:rPr>
              <w:t>Google BigQuery, Cloud Storage</w:t>
            </w:r>
          </w:p>
        </w:tc>
      </w:tr>
      <w:tr>
        <w:tc>
          <w:tcPr>
            <w:tcW w:type="dxa" w:w="3024"/>
            <w:shd w:fill="FFFFFF"/>
            <w:tcMar>
              <w:top w:w="60" w:type="dxa"/>
              <w:bottom w:w="60" w:type="dxa"/>
              <w:left w:w="100" w:type="dxa"/>
              <w:right w:w="100" w:type="dxa"/>
            </w:tcMar>
          </w:tcPr>
          <w:p>
            <w:pPr>
              <w:spacing w:after="0"/>
            </w:pPr>
            <w:r>
              <w:rPr>
                <w:rFonts w:ascii="Calibri" w:hAnsi="Calibri"/>
                <w:color w:val="1E293B"/>
                <w:sz w:val="17"/>
              </w:rPr>
              <w:t>Domain 4: Security, Governance &amp; ML</w:t>
            </w:r>
          </w:p>
        </w:tc>
        <w:tc>
          <w:tcPr>
            <w:tcW w:type="dxa" w:w="4032"/>
            <w:shd w:fill="FFFFFF"/>
            <w:tcMar>
              <w:top w:w="60" w:type="dxa"/>
              <w:bottom w:w="60" w:type="dxa"/>
              <w:left w:w="100" w:type="dxa"/>
              <w:right w:w="100" w:type="dxa"/>
            </w:tcMar>
          </w:tcPr>
          <w:p>
            <w:pPr>
              <w:spacing w:after="0"/>
            </w:pPr>
            <w:r>
              <w:rPr>
                <w:rFonts w:ascii="Calibri" w:hAnsi="Calibri"/>
                <w:color w:val="1E293B"/>
                <w:sz w:val="17"/>
              </w:rPr>
              <w:t>De-identifikasi data sensitif (PII Hashing), metadata lineage terpusat, kontrol akses granular (IAM), dan pemodelan prediktif SQL.</w:t>
            </w:r>
          </w:p>
        </w:tc>
        <w:tc>
          <w:tcPr>
            <w:tcW w:type="dxa" w:w="2549"/>
            <w:shd w:fill="FFFFFF"/>
            <w:tcMar>
              <w:top w:w="60" w:type="dxa"/>
              <w:bottom w:w="60" w:type="dxa"/>
              <w:left w:w="100" w:type="dxa"/>
              <w:right w:w="100" w:type="dxa"/>
            </w:tcMar>
          </w:tcPr>
          <w:p>
            <w:pPr>
              <w:spacing w:after="0"/>
            </w:pPr>
            <w:r>
              <w:rPr>
                <w:rFonts w:ascii="Calibri" w:hAnsi="Calibri"/>
                <w:color w:val="1E293B"/>
                <w:sz w:val="17"/>
              </w:rPr>
              <w:t>Cloud DLP, Dataplex, IAM, BigQuery ML</w:t>
            </w:r>
          </w:p>
        </w:tc>
      </w:tr>
    </w:tbl>
    <w:p>
      <w:pPr>
        <w:spacing w:after="80"/>
      </w:pPr>
    </w:p>
    <w:p>
      <w:pPr>
        <w:keepNext/>
        <w:spacing w:before="320" w:after="120"/>
      </w:pPr>
      <w:r>
        <w:rPr>
          <w:rFonts w:ascii="Calibri" w:hAnsi="Calibri"/>
          <w:b/>
          <w:color w:val="0F172A"/>
          <w:sz w:val="28"/>
        </w:rPr>
        <w:t>3. Detail Arsitektur Sistem (End-to-End GCP Data Pipeline)</w:t>
      </w:r>
    </w:p>
    <w:p>
      <w:pPr>
        <w:spacing w:before="0" w:after="80" w:line="276" w:lineRule="auto"/>
      </w:pPr>
      <w:r>
        <w:rPr>
          <w:rFonts w:ascii="Calibri" w:hAnsi="Calibri"/>
          <w:i w:val="0"/>
          <w:color w:val="1E293B"/>
          <w:sz w:val="20"/>
        </w:rPr>
        <w:t>Diagram alur pemrosesan data end-to-end terbagi ke dalam 3 tier utama:</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 DATA SOURCES ]</w:t>
              <w:br/>
              <w:t xml:space="preserve">  │</w:t>
              <w:br/>
              <w:t xml:space="preserve">  ├──► Real-Time Clickstream (Web/Mobile App)</w:t>
              <w:br/>
              <w:t xml:space="preserve">  │      │</w:t>
              <w:br/>
              <w:t xml:space="preserve">  │      ▼</w:t>
              <w:br/>
              <w:t xml:space="preserve">  │   [ Cloud Pub/Sub ] (Topic: clickstream-events)</w:t>
              <w:br/>
              <w:t xml:space="preserve">  │      │</w:t>
              <w:br/>
              <w:t xml:space="preserve">  │      ▼</w:t>
              <w:br/>
              <w:t xml:space="preserve">  │   [ Cloud Dataflow (Apache Beam) ] ──► (Sliding Windows + Watermarks)</w:t>
              <w:br/>
              <w:t xml:space="preserve">  │      │</w:t>
              <w:br/>
              <w:t xml:space="preserve">  │      ├──────────────────────────────────────────────────────┐</w:t>
              <w:br/>
              <w:t xml:space="preserve">  │      ▼                                                      │</w:t>
              <w:br/>
              <w:t xml:space="preserve">  └──► Daily Transaction Logs (ERP / SQL DB)                    ▼</w:t>
              <w:br/>
              <w:t xml:space="preserve">         │                                            [ Google BigQuery Lakehouse ]</w:t>
              <w:br/>
              <w:t xml:space="preserve">         ▼                                              ├─ Bronze Layer (Raw External GCS)</w:t>
              <w:br/>
              <w:t xml:space="preserve">      [ Cloud Storage (GCS) ]                           ├─ Silver Layer (Cleaned &amp; PII-Masked)</w:t>
              <w:br/>
              <w:t xml:space="preserve">         │                                              ├─ Gold Layer (Aggregated Data Mart)</w:t>
              <w:br/>
              <w:t xml:space="preserve">         ▼                                              └─ BigQuery ML (Model Training)</w:t>
              <w:br/>
              <w:t xml:space="preserve">      [ Cloud Composer (Airflow DAG) ] ─────────────────────────┘</w:t>
              <w:br/>
              <w:t xml:space="preserve">                                                                │</w:t>
              <w:br/>
              <w:t xml:space="preserve">                                                                ▼</w:t>
              <w:br/>
              <w:t xml:space="preserve">                                                        [ Looker Studio Dashboard ]</w:t>
            </w:r>
          </w:p>
        </w:tc>
      </w:tr>
    </w:tbl>
    <w:p>
      <w:pPr>
        <w:spacing w:before="0" w:after="80"/>
      </w:pPr>
    </w:p>
    <w:p>
      <w:pPr>
        <w:pStyle w:val="ListBullet"/>
        <w:spacing w:before="0" w:after="60" w:line="276" w:lineRule="auto"/>
      </w:pPr>
      <w:r>
        <w:rPr>
          <w:rFonts w:ascii="Calibri" w:hAnsi="Calibri"/>
          <w:b/>
          <w:color w:val="1E293B"/>
          <w:sz w:val="20"/>
        </w:rPr>
        <w:t>1.</w:t>
      </w:r>
      <w:r>
        <w:rPr>
          <w:rFonts w:ascii="Calibri" w:hAnsi="Calibri"/>
          <w:color w:val="1E293B"/>
          <w:sz w:val="20"/>
        </w:rPr>
        <w:t xml:space="preserve"> Ingestion Layer: Event clickstream masuk secara asynchronous ke Cloud Pub/Sub, sedangkan transaksi batch harian diekstrak dalam format Parquet ke Cloud Storage (Bronze).</w:t>
      </w:r>
    </w:p>
    <w:p>
      <w:pPr>
        <w:pStyle w:val="ListBullet"/>
        <w:spacing w:before="0" w:after="60" w:line="276" w:lineRule="auto"/>
      </w:pPr>
      <w:r>
        <w:rPr>
          <w:rFonts w:ascii="Calibri" w:hAnsi="Calibri"/>
          <w:b/>
          <w:color w:val="1E293B"/>
          <w:sz w:val="20"/>
        </w:rPr>
        <w:t>2.</w:t>
      </w:r>
      <w:r>
        <w:rPr>
          <w:rFonts w:ascii="Calibri" w:hAnsi="Calibri"/>
          <w:color w:val="1E293B"/>
          <w:sz w:val="20"/>
        </w:rPr>
        <w:t xml:space="preserve"> Processing &amp; Transformation: Pipeline Apache Beam di Cloud Dataflow memproses stream secara real-time dengan sliding window 5 menit, sedangkan Cloud Composer mengeksekusi DAG batch harian.</w:t>
      </w:r>
    </w:p>
    <w:p>
      <w:pPr>
        <w:pStyle w:val="ListBullet"/>
        <w:spacing w:before="0" w:after="60" w:line="276" w:lineRule="auto"/>
      </w:pPr>
      <w:r>
        <w:rPr>
          <w:rFonts w:ascii="Calibri" w:hAnsi="Calibri"/>
          <w:b/>
          <w:color w:val="1E293B"/>
          <w:sz w:val="20"/>
        </w:rPr>
        <w:t>3.</w:t>
      </w:r>
      <w:r>
        <w:rPr>
          <w:rFonts w:ascii="Calibri" w:hAnsi="Calibri"/>
          <w:color w:val="1E293B"/>
          <w:sz w:val="20"/>
        </w:rPr>
        <w:t xml:space="preserve"> Storage &amp; Serving Layer: BigQuery mengonsolidasikan data ke layer Silver (Cleaned/PII Masked) dan Gold (Aggregated Mart), serta menjalankan BigQuery ML untuk prediksi churn.</w:t>
      </w:r>
    </w:p>
    <w:p>
      <w:pPr>
        <w:keepNext/>
        <w:spacing w:before="320" w:after="120"/>
      </w:pPr>
      <w:r>
        <w:rPr>
          <w:rFonts w:ascii="Calibri" w:hAnsi="Calibri"/>
          <w:b/>
          <w:color w:val="0F172A"/>
          <w:sz w:val="28"/>
        </w:rPr>
        <w:t>4. Code Artifacts &amp; Konfigurasi Teknis</w:t>
      </w:r>
    </w:p>
    <w:p>
      <w:pPr>
        <w:keepNext/>
        <w:spacing w:before="240" w:after="80"/>
      </w:pPr>
      <w:r>
        <w:rPr>
          <w:rFonts w:ascii="Calibri" w:hAnsi="Calibri"/>
          <w:b/>
          <w:color w:val="2563EB"/>
          <w:sz w:val="23"/>
        </w:rPr>
        <w:t>A. Apache Beam Streaming Pipeline (Python / Dataflow)</w:t>
      </w:r>
    </w:p>
    <w:p>
      <w:pPr>
        <w:spacing w:before="0" w:after="80" w:line="276" w:lineRule="auto"/>
      </w:pPr>
      <w:r>
        <w:rPr>
          <w:rFonts w:ascii="Calibri" w:hAnsi="Calibri"/>
          <w:i w:val="0"/>
          <w:color w:val="1E293B"/>
          <w:sz w:val="20"/>
        </w:rPr>
        <w:t>File: pipelines/streaming/dataflow_clickstream.py — Menerapkan penanganan stream real-time, windowing, dan toleransi data terlambat (Allowed Lateness):</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import json</w:t>
              <w:br/>
              <w:t>import logging</w:t>
              <w:br/>
              <w:t>import apache_beam as beam</w:t>
              <w:br/>
              <w:t>from apache_beam.options.pipeline_options import PipelineOptions, StandardOptions</w:t>
              <w:br/>
              <w:t>from apache_beam.transforms.window import SlidingWindows</w:t>
              <w:br/>
              <w:br/>
              <w:t>class ParseAndFilterEvents(beam.DoFn):</w:t>
              <w:br/>
              <w:t xml:space="preserve">    """Parse JSON event and validate mandatory fields."""</w:t>
              <w:br/>
              <w:t xml:space="preserve">    def process(self, element):</w:t>
              <w:br/>
              <w:t xml:space="preserve">        try:</w:t>
              <w:br/>
              <w:t xml:space="preserve">            event = json.loads(element.decode("utf-8"))</w:t>
              <w:br/>
              <w:t xml:space="preserve">            if "user_id" in event and "timestamp" in event:</w:t>
              <w:br/>
              <w:t xml:space="preserve">                yield beam.window.TimestampedValue(event, event["timestamp"])</w:t>
              <w:br/>
              <w:t xml:space="preserve">        except Exception as e:</w:t>
              <w:br/>
              <w:t xml:space="preserve">            logging.error(f"Error parsing event: {e}")</w:t>
              <w:br/>
              <w:br/>
              <w:t>def run():</w:t>
              <w:br/>
              <w:t xml:space="preserve">    options = PipelineOptions()</w:t>
              <w:br/>
              <w:t xml:space="preserve">    options.view_as(StandardOptions).streaming = True</w:t>
              <w:br/>
              <w:br/>
              <w:t xml:space="preserve">    project_id = "my-gcp-enterprise-project"</w:t>
              <w:br/>
              <w:t xml:space="preserve">    subscription = f"projects/{project_id}/subscriptions/clickstream-sub"</w:t>
              <w:br/>
              <w:t xml:space="preserve">    output_table = f"{project_id}:ecommerce_lakehouse.realtime_user_activity"</w:t>
              <w:br/>
              <w:br/>
              <w:t xml:space="preserve">    with beam.Pipeline(options=options) as p:</w:t>
              <w:br/>
              <w:t xml:space="preserve">        (</w:t>
              <w:br/>
              <w:t xml:space="preserve">            p</w:t>
              <w:br/>
              <w:t xml:space="preserve">            | "ReadFromPubSub" &gt;&gt; beam.io.ReadFromPubSub(subscription=subscription)</w:t>
              <w:br/>
              <w:t xml:space="preserve">            | "ParseJSON" &gt;&gt; beam.ParDo(ParseAndFilterEvents())</w:t>
              <w:br/>
              <w:t xml:space="preserve">            # Sliding window 5 menit, dievaluasi setiap 1 menit dengan toleransi telat 2 menit</w:t>
              <w:br/>
              <w:t xml:space="preserve">            | "SlidingWindow" &gt;&gt; beam.WindowInto(</w:t>
              <w:br/>
              <w:t xml:space="preserve">                SlidingWindows(size=300, period=60),</w:t>
              <w:br/>
              <w:t xml:space="preserve">                allowed_lateness=120</w:t>
              <w:br/>
              <w:t xml:space="preserve">            )</w:t>
              <w:br/>
              <w:t xml:space="preserve">            | "ExtractUserID" &gt;&gt; beam.Map(lambda x: (x["user_id"], 1))</w:t>
              <w:br/>
              <w:t xml:space="preserve">            | "CountPerUser" &gt;&gt; beam.CombinePerKey(sum)</w:t>
              <w:br/>
              <w:t xml:space="preserve">            | "FormatOutput" &gt;&gt; beam.Map(lambda kv: {</w:t>
              <w:br/>
              <w:t xml:space="preserve">                "user_id": kv[0],</w:t>
              <w:br/>
              <w:t xml:space="preserve">                "event_count": kv[1],</w:t>
              <w:br/>
              <w:t xml:space="preserve">                "processed_at": beam.window.Timestamp.now().to_rfc3339()</w:t>
              <w:br/>
              <w:t xml:space="preserve">            })</w:t>
              <w:br/>
              <w:t xml:space="preserve">            | "WriteToBigQuery" &gt;&gt; beam.io.WriteToBigQuery(</w:t>
              <w:br/>
              <w:t xml:space="preserve">                table=output_table,</w:t>
              <w:br/>
              <w:t xml:space="preserve">                schema="user_id:STRING, event_count:INTEGER, processed_at:TIMESTAMP",</w:t>
              <w:br/>
              <w:t xml:space="preserve">                write_disposition=beam.io.BigQueryDisposition.WRITE_APPEND,</w:t>
              <w:br/>
              <w:t xml:space="preserve">                create_disposition=beam.io.BigQueryDisposition.CREATE_IF_NEEDED</w:t>
              <w:br/>
              <w:t xml:space="preserve">            )</w:t>
              <w:br/>
              <w:t xml:space="preserve">        )</w:t>
              <w:br/>
              <w:br/>
              <w:t>if __name__ == "__main__":</w:t>
              <w:br/>
              <w:t xml:space="preserve">    run()</w:t>
            </w:r>
          </w:p>
        </w:tc>
      </w:tr>
    </w:tbl>
    <w:p>
      <w:pPr>
        <w:spacing w:before="0" w:after="80"/>
      </w:pPr>
    </w:p>
    <w:p>
      <w:pPr>
        <w:keepNext/>
        <w:spacing w:before="240" w:after="80"/>
      </w:pPr>
      <w:r>
        <w:rPr>
          <w:rFonts w:ascii="Calibri" w:hAnsi="Calibri"/>
          <w:b/>
          <w:color w:val="2563EB"/>
          <w:sz w:val="23"/>
        </w:rPr>
        <w:t>B. BigQuery Lakehouse DDL (Partitioning &amp; Clustering)</w:t>
      </w:r>
    </w:p>
    <w:p>
      <w:pPr>
        <w:spacing w:before="0" w:after="80" w:line="276" w:lineRule="auto"/>
      </w:pPr>
      <w:r>
        <w:rPr>
          <w:rFonts w:ascii="Calibri" w:hAnsi="Calibri"/>
          <w:i w:val="0"/>
          <w:color w:val="1E293B"/>
          <w:sz w:val="20"/>
        </w:rPr>
        <w:t>File: bigquery/ddl/fact_transactions.sql — Menerapkan partisi berbasis waktu dan clustering multi-kolom untuk mengoptimalkan biaya query:</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 Silver Layer: DDL Fact Transactions dengan Partitioning &amp; Clustering</w:t>
              <w:br/>
              <w:t>CREATE OR REPLACE TABLE `my-gcp-enterprise-project.ecommerce_lakehouse.fact_transactions`</w:t>
              <w:br/>
              <w:t>(</w:t>
              <w:br/>
              <w:t xml:space="preserve">    transaction_id STRING NOT NULL,</w:t>
              <w:br/>
              <w:t xml:space="preserve">    user_id STRING NOT NULL,</w:t>
              <w:br/>
              <w:t xml:space="preserve">    merchant_id STRING NOT NULL,</w:t>
              <w:br/>
              <w:t xml:space="preserve">    amount NUMERIC,</w:t>
              <w:br/>
              <w:t xml:space="preserve">    payment_method STRING,</w:t>
              <w:br/>
              <w:t xml:space="preserve">    status STRING,</w:t>
              <w:br/>
              <w:t xml:space="preserve">    transaction_timestamp TIMESTAMP NOT NULL</w:t>
              <w:br/>
              <w:t>)</w:t>
              <w:br/>
              <w:t>PARTITION BY DATE(transaction_timestamp)</w:t>
              <w:br/>
              <w:t>CLUSTER BY merchant_id, user_id</w:t>
              <w:br/>
              <w:t>OPTIONS (</w:t>
              <w:br/>
              <w:t xml:space="preserve">    description = "Partitioned daily by transaction timestamp and clustered by merchant and user",</w:t>
              <w:br/>
              <w:t xml:space="preserve">    require_partition_filter = TRUE</w:t>
              <w:br/>
              <w:t>);</w:t>
            </w:r>
          </w:p>
        </w:tc>
      </w:tr>
    </w:tbl>
    <w:p>
      <w:pPr>
        <w:spacing w:before="0" w:after="80"/>
      </w:pPr>
    </w:p>
    <w:p>
      <w:pPr>
        <w:keepNext/>
        <w:spacing w:before="240" w:after="80"/>
      </w:pPr>
      <w:r>
        <w:rPr>
          <w:rFonts w:ascii="Calibri" w:hAnsi="Calibri"/>
          <w:b/>
          <w:color w:val="2563EB"/>
          <w:sz w:val="23"/>
        </w:rPr>
        <w:t>C. Machine Learning In-Warehouse: BigQuery ML</w:t>
      </w:r>
    </w:p>
    <w:p>
      <w:pPr>
        <w:spacing w:before="0" w:after="80" w:line="276" w:lineRule="auto"/>
      </w:pPr>
      <w:r>
        <w:rPr>
          <w:rFonts w:ascii="Calibri" w:hAnsi="Calibri"/>
          <w:i w:val="0"/>
          <w:color w:val="1E293B"/>
          <w:sz w:val="20"/>
        </w:rPr>
        <w:t>File: bigquery/bqml/churn_model.sql — Melatih model klasifikasi Boosted Trees langsung di dalam BigQuery menggunakan SQL standar:</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-- 1. Training Model Prediksi Churn Pelanggan</w:t>
              <w:br/>
              <w:t>CREATE OR REPLACE MODEL `ecommerce_lakehouse.model_churn_prediction`</w:t>
              <w:br/>
              <w:t>OPTIONS (</w:t>
              <w:br/>
              <w:t xml:space="preserve">    model_type = 'BOOSTED_TREE_CLASSIFIER',</w:t>
              <w:br/>
              <w:t xml:space="preserve">    input_label_cols = ['is_churned'],</w:t>
              <w:br/>
              <w:t xml:space="preserve">    auto_class_weights = TRUE,</w:t>
              <w:br/>
              <w:t xml:space="preserve">    max_iterations = 20</w:t>
              <w:br/>
              <w:t>) AS</w:t>
              <w:br/>
              <w:t>SELECT</w:t>
              <w:br/>
              <w:t xml:space="preserve">    user_id,</w:t>
              <w:br/>
              <w:t xml:space="preserve">    total_orders_last_30d,</w:t>
              <w:br/>
              <w:t xml:space="preserve">    total_spend_amount,</w:t>
              <w:br/>
              <w:t xml:space="preserve">    avg_session_duration_seconds,</w:t>
              <w:br/>
              <w:t xml:space="preserve">    days_since_last_order,</w:t>
              <w:br/>
              <w:t xml:space="preserve">    is_churned</w:t>
              <w:br/>
              <w:t>FROM `ecommerce_lakehouse.view_ml_features`;</w:t>
              <w:br/>
              <w:br/>
              <w:t>-- 2. Evaluasi Model</w:t>
              <w:br/>
              <w:t>SELECT * FROM ML.EVALUATE(MODEL `ecommerce_lakehouse.model_churn_prediction`);</w:t>
              <w:br/>
              <w:br/>
              <w:t>-- 3. Batch Scoring / Inference</w:t>
              <w:br/>
              <w:t>SELECT</w:t>
              <w:br/>
              <w:t xml:space="preserve">    user_id,</w:t>
              <w:br/>
              <w:t xml:space="preserve">    predicted_is_churned,</w:t>
              <w:br/>
              <w:t xml:space="preserve">    predicted_is_churned_probs[OFFSET(0)].prob AS churn_probability</w:t>
              <w:br/>
              <w:t>FROM ML.PREDICT(</w:t>
              <w:br/>
              <w:t xml:space="preserve">    MODEL `ecommerce_lakehouse.model_churn_prediction`,</w:t>
              <w:br/>
              <w:t xml:space="preserve">    (SELECT * FROM `ecommerce_lakehouse.view_ml_features_active_users`)</w:t>
              <w:br/>
              <w:t>);</w:t>
            </w:r>
          </w:p>
        </w:tc>
      </w:tr>
    </w:tbl>
    <w:p>
      <w:pPr>
        <w:spacing w:before="0" w:after="80"/>
      </w:pPr>
    </w:p>
    <w:p>
      <w:pPr>
        <w:keepNext/>
        <w:spacing w:before="240" w:after="80"/>
      </w:pPr>
      <w:r>
        <w:rPr>
          <w:rFonts w:ascii="Calibri" w:hAnsi="Calibri"/>
          <w:b/>
          <w:color w:val="2563EB"/>
          <w:sz w:val="23"/>
        </w:rPr>
        <w:t>D. Data Governance: Cloud DLP Template (PII Masking)</w:t>
      </w:r>
    </w:p>
    <w:p>
      <w:pPr>
        <w:spacing w:before="0" w:after="80" w:line="276" w:lineRule="auto"/>
      </w:pPr>
      <w:r>
        <w:rPr>
          <w:rFonts w:ascii="Calibri" w:hAnsi="Calibri"/>
          <w:i w:val="0"/>
          <w:color w:val="1E293B"/>
          <w:sz w:val="20"/>
        </w:rPr>
        <w:t>File: governance/dlp_inspect_template.json — Konfigurasi deteksi dan de-identifikasi otomatis data PII (Email, No Telepon, NIK Indonesia):</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w:t>
              <w:br/>
              <w:t xml:space="preserve">  "inspectConfig": {</w:t>
              <w:br/>
              <w:t xml:space="preserve">    "infoTypes": [</w:t>
              <w:br/>
              <w:t xml:space="preserve">      { "name": "EMAIL_ADDRESS" },</w:t>
              <w:br/>
              <w:t xml:space="preserve">      { "name": "PHONE_NUMBER" },</w:t>
              <w:br/>
              <w:t xml:space="preserve">      { "name": "INDONESIA_NIK" }</w:t>
              <w:br/>
              <w:t xml:space="preserve">    ],</w:t>
              <w:br/>
              <w:t xml:space="preserve">    "minLikelihood": "LIKELY",</w:t>
              <w:br/>
              <w:t xml:space="preserve">    "limits": {</w:t>
              <w:br/>
              <w:t xml:space="preserve">      "maxFindingsPerItem": 100</w:t>
              <w:br/>
              <w:t xml:space="preserve">    }</w:t>
              <w:br/>
              <w:t xml:space="preserve">  },</w:t>
              <w:br/>
              <w:t xml:space="preserve">  "deidentifyConfig": {</w:t>
              <w:br/>
              <w:t xml:space="preserve">    "infoTypeTransformations": {</w:t>
              <w:br/>
              <w:t xml:space="preserve">      "transformations": [</w:t>
              <w:br/>
              <w:t xml:space="preserve">        {</w:t>
              <w:br/>
              <w:t xml:space="preserve">          "infoTypes": [{ "name": "PHONE_NUMBER" }, { "name": "EMAIL_ADDRESS" }],</w:t>
              <w:br/>
              <w:t xml:space="preserve">          "primitiveTransformation": {</w:t>
              <w:br/>
              <w:t xml:space="preserve">            "characterMaskConfig": {</w:t>
              <w:br/>
              <w:t xml:space="preserve">              "maskingCharacter": "*",</w:t>
              <w:br/>
              <w:t xml:space="preserve">              "numberToMask": 4,</w:t>
              <w:br/>
              <w:t xml:space="preserve">              "reverseOrder": true</w:t>
              <w:br/>
              <w:t xml:space="preserve">            }</w:t>
              <w:br/>
              <w:t xml:space="preserve">          }</w:t>
              <w:br/>
              <w:t xml:space="preserve">        }</w:t>
              <w:br/>
              <w:t xml:space="preserve">      ]</w:t>
              <w:br/>
              <w:t xml:space="preserve">    }</w:t>
              <w:br/>
              <w:t xml:space="preserve">  }</w:t>
              <w:br/>
              <w:t>}</w:t>
            </w:r>
          </w:p>
        </w:tc>
      </w:tr>
    </w:tbl>
    <w:p>
      <w:pPr>
        <w:spacing w:before="0" w:after="80"/>
      </w:pPr>
    </w:p>
    <w:p>
      <w:pPr>
        <w:keepNext/>
        <w:spacing w:before="320" w:after="120"/>
      </w:pPr>
      <w:r>
        <w:rPr>
          <w:rFonts w:ascii="Calibri" w:hAnsi="Calibri"/>
          <w:b/>
          <w:color w:val="0F172A"/>
          <w:sz w:val="28"/>
        </w:rPr>
        <w:t>5. Struktur Direktori Repository GitHub</w:t>
      </w:r>
    </w:p>
    <w:p>
      <w:pPr>
        <w:spacing w:before="0" w:after="80" w:line="276" w:lineRule="auto"/>
      </w:pPr>
      <w:r>
        <w:rPr>
          <w:rFonts w:ascii="Calibri" w:hAnsi="Calibri"/>
          <w:i w:val="0"/>
          <w:color w:val="1E293B"/>
          <w:sz w:val="20"/>
        </w:rPr>
        <w:t>Struktur folder modular berstandar enterprise untuk kemudahan kolaborasi dan CI/CD:</w:t>
      </w:r>
    </w:p>
    <w:tbl>
      <w:tblPr>
        <w:tblW w:type="auto" w:w="0"/>
        <w:jc w:val="center"/>
        <w:tblLayout w:type="fixed"/>
        <w:tblLook w:firstColumn="1" w:firstRow="1" w:lastColumn="0" w:lastRow="0" w:noHBand="0" w:noVBand="1" w:val="04A0"/>
      </w:tblPr>
      <w:tblGrid>
        <w:gridCol w:w="9605"/>
      </w:tblGrid>
      <w:tr>
        <w:tc>
          <w:tcPr>
            <w:tcW w:type="dxa" w:w="9605"/>
            <w:shd w:fill="0F172A"/>
            <w:tcMar>
              <w:top w:w="120" w:type="dxa"/>
              <w:bottom w:w="120" w:type="dxa"/>
              <w:left w:w="180" w:type="dxa"/>
              <w:right w:w="180" w:type="dxa"/>
            </w:tcMar>
          </w:tcPr>
          <w:p>
            <w:pPr>
              <w:spacing w:before="0" w:after="0" w:line="252" w:lineRule="auto"/>
            </w:pPr>
            <w:r>
              <w:rPr>
                <w:rFonts w:ascii="Consolas" w:hAnsi="Consolas"/>
                <w:color w:val="F1F5F9"/>
                <w:sz w:val="17"/>
              </w:rPr>
              <w:t>├── terraform/                      # Infrastructure as Code (IaC)</w:t>
              <w:br/>
              <w:t>│   ├── main.tf                     # Provisioning PubSub, GCS, BigQuery, Dataplex</w:t>
              <w:br/>
              <w:t>│   ├── variables.tf                # GCP Project &amp; Region variables</w:t>
              <w:br/>
              <w:t>│   ├── iam.tf                      # Principle of Least Privilege IAM setups</w:t>
              <w:br/>
              <w:t>│   └── outputs.tf</w:t>
              <w:br/>
              <w:t>├── pipelines/</w:t>
              <w:br/>
              <w:t>│   ├── streaming/</w:t>
              <w:br/>
              <w:t>│   │   ├── dataflow_clickstream.py # Apache Beam streaming engine</w:t>
              <w:br/>
              <w:t>│   │   └── requirements.txt</w:t>
              <w:br/>
              <w:t>│   └── batch/</w:t>
              <w:br/>
              <w:t>│       └── composer_dags.py        # Cloud Composer / Apache Airflow DAGs</w:t>
              <w:br/>
              <w:t>├── bigquery/</w:t>
              <w:br/>
              <w:t>│   ├── ddl/</w:t>
              <w:br/>
              <w:t>│   │   ├── bronze_tables.sql       # External BigQuery tables over GCS</w:t>
              <w:br/>
              <w:t>│   │   ├── silver_fact_tables.sql  # Partitioned &amp; Clustered internal tables</w:t>
              <w:br/>
              <w:t>│   │   └── gold_data_marts.sql     # Materialized views &amp; aggregations</w:t>
              <w:br/>
              <w:t>│   └── bqml/</w:t>
              <w:br/>
              <w:t>│       ├── churn_model.sql         # BigQuery ML training &amp; batch scoring</w:t>
              <w:br/>
              <w:t>│       └── evaluate_model.sql</w:t>
              <w:br/>
              <w:t>├── governance/</w:t>
              <w:br/>
              <w:t>│   ├── dataplex_lake_config.json   # Dataplex Asset &amp; Discovery configs</w:t>
              <w:br/>
              <w:t>│   └── dlp_inspect_template.json   # Cloud DLP De-identification policy</w:t>
              <w:br/>
              <w:t>├── docs/</w:t>
              <w:br/>
              <w:t>│   └── architecture_diagram.png</w:t>
              <w:br/>
              <w:t>└── README.md                       # Comprehensive Blueprint &amp; Documentation</w:t>
            </w:r>
          </w:p>
        </w:tc>
      </w:tr>
    </w:tbl>
    <w:p>
      <w:pPr>
        <w:spacing w:before="0" w:after="80"/>
      </w:pPr>
    </w:p>
    <w:p>
      <w:pPr>
        <w:keepNext/>
        <w:spacing w:before="320" w:after="120"/>
      </w:pPr>
      <w:r>
        <w:rPr>
          <w:rFonts w:ascii="Calibri" w:hAnsi="Calibri"/>
          <w:b/>
          <w:color w:val="0F172A"/>
          <w:sz w:val="28"/>
        </w:rPr>
        <w:t>6. Panduan Deployment &amp; Eksekusi di Antigravity IDE</w:t>
      </w:r>
    </w:p>
    <w:p>
      <w:pPr>
        <w:pStyle w:val="ListBullet"/>
        <w:spacing w:before="0" w:after="60" w:line="276" w:lineRule="auto"/>
      </w:pPr>
      <w:r>
        <w:rPr>
          <w:rFonts w:ascii="Calibri" w:hAnsi="Calibri"/>
          <w:b/>
          <w:color w:val="1E293B"/>
          <w:sz w:val="20"/>
        </w:rPr>
        <w:t>Langkah 1 (Terraform):</w:t>
      </w:r>
      <w:r>
        <w:rPr>
          <w:rFonts w:ascii="Calibri" w:hAnsi="Calibri"/>
          <w:color w:val="1E293B"/>
          <w:sz w:val="20"/>
        </w:rPr>
        <w:t xml:space="preserve"> Eksekusi provisioning resource GCP: cd terraform/ &amp;&amp; terraform init &amp;&amp; terraform apply -auto-approve</w:t>
      </w:r>
    </w:p>
    <w:p>
      <w:pPr>
        <w:pStyle w:val="ListBullet"/>
        <w:spacing w:before="0" w:after="60" w:line="276" w:lineRule="auto"/>
      </w:pPr>
      <w:r>
        <w:rPr>
          <w:rFonts w:ascii="Calibri" w:hAnsi="Calibri"/>
          <w:b/>
          <w:color w:val="1E293B"/>
          <w:sz w:val="20"/>
        </w:rPr>
        <w:t>Langkah 2 (Dataflow):</w:t>
      </w:r>
      <w:r>
        <w:rPr>
          <w:rFonts w:ascii="Calibri" w:hAnsi="Calibri"/>
          <w:color w:val="1E293B"/>
          <w:sz w:val="20"/>
        </w:rPr>
        <w:t xml:space="preserve"> Jalankan pipeline streaming: python dataflow_clickstream.py --runner=DataflowRunner --project=[YOUR_PROJECT_ID] --region=asia-southeast2</w:t>
      </w:r>
    </w:p>
    <w:p>
      <w:pPr>
        <w:pStyle w:val="ListBullet"/>
        <w:spacing w:before="0" w:after="60" w:line="276" w:lineRule="auto"/>
      </w:pPr>
      <w:r>
        <w:rPr>
          <w:rFonts w:ascii="Calibri" w:hAnsi="Calibri"/>
          <w:b/>
          <w:color w:val="1E293B"/>
          <w:sz w:val="20"/>
        </w:rPr>
        <w:t>Langkah 3 (BigQuery &amp; ML):</w:t>
      </w:r>
      <w:r>
        <w:rPr>
          <w:rFonts w:ascii="Calibri" w:hAnsi="Calibri"/>
          <w:color w:val="1E293B"/>
          <w:sz w:val="20"/>
        </w:rPr>
        <w:t xml:space="preserve"> Jalankan script SQL DDL partisi/clustering dan training BigQuery ML melalui console BigQuery atau Antigravity CLI.</w:t>
      </w:r>
    </w:p>
    <w:p>
      <w:pPr>
        <w:keepNext/>
        <w:spacing w:before="320" w:after="120"/>
      </w:pPr>
      <w:r>
        <w:rPr>
          <w:rFonts w:ascii="Calibri" w:hAnsi="Calibri"/>
          <w:b/>
          <w:color w:val="0F172A"/>
          <w:sz w:val="28"/>
        </w:rPr>
        <w:t>7. Business ROI &amp; Engineering Metrics</w:t>
      </w:r>
    </w:p>
    <w:p>
      <w:pPr>
        <w:pStyle w:val="ListBullet"/>
        <w:spacing w:before="0" w:after="60" w:line="276" w:lineRule="auto"/>
      </w:pPr>
      <w:r>
        <w:rPr>
          <w:rFonts w:ascii="Calibri" w:hAnsi="Calibri"/>
          <w:b/>
          <w:color w:val="1E293B"/>
          <w:sz w:val="20"/>
        </w:rPr>
        <w:t>Processing Latency:</w:t>
      </w:r>
      <w:r>
        <w:rPr>
          <w:rFonts w:ascii="Calibri" w:hAnsi="Calibri"/>
          <w:color w:val="1E293B"/>
          <w:sz w:val="20"/>
        </w:rPr>
        <w:t xml:space="preserve"> Latensi pemrosesan event stream clickstream turun menjadi &lt; 3 detik dari waktu event terjadi.</w:t>
      </w:r>
    </w:p>
    <w:p>
      <w:pPr>
        <w:pStyle w:val="ListBullet"/>
        <w:spacing w:before="0" w:after="60" w:line="276" w:lineRule="auto"/>
      </w:pPr>
      <w:r>
        <w:rPr>
          <w:rFonts w:ascii="Calibri" w:hAnsi="Calibri"/>
          <w:b/>
          <w:color w:val="1E293B"/>
          <w:sz w:val="20"/>
        </w:rPr>
        <w:t>Query Cost Optimization:</w:t>
      </w:r>
      <w:r>
        <w:rPr>
          <w:rFonts w:ascii="Calibri" w:hAnsi="Calibri"/>
          <w:color w:val="1E293B"/>
          <w:sz w:val="20"/>
        </w:rPr>
        <w:t xml:space="preserve"> Penghematan volume query scan data BigQuery hingga 65% berkat penerapan require_partition_filter dan multi-column clustering.</w:t>
      </w:r>
    </w:p>
    <w:p>
      <w:pPr>
        <w:pStyle w:val="ListBullet"/>
        <w:spacing w:before="0" w:after="60" w:line="276" w:lineRule="auto"/>
      </w:pPr>
      <w:r>
        <w:rPr>
          <w:rFonts w:ascii="Calibri" w:hAnsi="Calibri"/>
          <w:b/>
          <w:color w:val="1E293B"/>
          <w:sz w:val="20"/>
        </w:rPr>
        <w:t>Security &amp; Governance Compliance:</w:t>
      </w:r>
      <w:r>
        <w:rPr>
          <w:rFonts w:ascii="Calibri" w:hAnsi="Calibri"/>
          <w:color w:val="1E293B"/>
          <w:sz w:val="20"/>
        </w:rPr>
        <w:t xml:space="preserve"> De-identifikasi otomatis data PII mencegah pelanggaran regulasi privasi data (UU PDP / GDPR).</w:t>
      </w:r>
    </w:p>
    <w:p>
      <w:pPr>
        <w:pStyle w:val="ListBullet"/>
        <w:spacing w:before="0" w:after="60" w:line="276" w:lineRule="auto"/>
      </w:pPr>
      <w:r>
        <w:rPr>
          <w:rFonts w:ascii="Calibri" w:hAnsi="Calibri"/>
          <w:b/>
          <w:color w:val="1E293B"/>
          <w:sz w:val="20"/>
        </w:rPr>
        <w:t>ML Lifecycle Efficiency:</w:t>
      </w:r>
      <w:r>
        <w:rPr>
          <w:rFonts w:ascii="Calibri" w:hAnsi="Calibri"/>
          <w:color w:val="1E293B"/>
          <w:sz w:val="20"/>
        </w:rPr>
        <w:t xml:space="preserve"> Mengeliminasi overhead ekspor data eksternal dengan melatih model prediktif langsung di BigQuery (BigQuery ML).</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