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Master Services Agreement (this "Agreement") is entered into between Acme Fulfillment Corp. ("Customer") and Widgets &amp; Sundries Ltd. ("Provider") for the provision of logistics services described in one or more Statements of Work.</w:t>
      </w:r>
    </w:p>
    <w:p>
      <w:pPr>
        <w:pStyle w:val="Heading2"/>
      </w:pPr>
      <w:r>
        <w:t>1. Services</w:t>
      </w:r>
    </w:p>
    <w:p>
      <w:r>
        <w:t>Provider shall perform the services described in each Statement of Work executed under this Agreement (the "Services") in a professional and workmanlike manner consistent with generally accepted industry standards.</w:t>
      </w:r>
    </w:p>
    <w:p>
      <w:pPr>
        <w:pStyle w:val="Heading2"/>
      </w:pPr>
      <w:r>
        <w:t>2. Fees and Payment</w:t>
      </w:r>
    </w:p>
    <w:p>
      <w:r>
        <w:t>Customer shall pay Provider's fees as set out in the applicable Statement of Work within thirty (30) days of receipt of a correct invoice. Amounts not paid when due accrue interest at one percent (1%) per month or the maximum rate permitted by law, whichever is lower.</w:t>
      </w:r>
    </w:p>
    <w:p>
      <w:pPr>
        <w:pStyle w:val="Heading2"/>
      </w:pPr>
      <w:r>
        <w:t>3. Confidentiality</w:t>
      </w:r>
    </w:p>
    <w:p>
      <w:r>
        <w:t>Each party shall protect the other's confidential information using reasonable care and shall not disclose it to any third party except as needed to perform this Agreement or as required by law.</w:t>
      </w:r>
    </w:p>
    <w:p>
      <w:pPr>
        <w:pStyle w:val="Heading2"/>
      </w:pPr>
      <w:r>
        <w:t>4. Term and Termination</w:t>
      </w:r>
    </w:p>
    <w:p>
      <w:r>
        <w:t>This Agreement commences on the Effective Date and continues for one (1) year, automatically renewing for successive one-year terms unless either party gives at least sixty (60) days' notice of non-renewal. Either party may terminate for the other's uncured material breach on thirty (30) days' written notice.</w:t>
      </w:r>
    </w:p>
    <w:p>
      <w:pPr>
        <w:pStyle w:val="Heading2"/>
      </w:pPr>
      <w:r>
        <w:t>5. Indemnification</w:t>
      </w:r>
    </w:p>
    <w:p>
      <w:r>
        <w:t>Customer shall indemnify, defend, and hold harmless Provider from and against any and all claims, damages, and expenses arising out of Customer's use of the Services, regardless of the theory of liability asserted.</w:t>
      </w:r>
    </w:p>
    <w:p>
      <w:pPr>
        <w:pStyle w:val="Heading2"/>
      </w:pPr>
      <w:r>
        <w:t>6. Limitation of Liability</w:t>
      </w:r>
    </w:p>
    <w:p>
      <w:r>
        <w:t>PROVIDER'S TOTAL LIABILITY ARISING OUT OF OR RELATED TO THIS AGREEMENT SHALL NOT EXCEED THE FEES PAID BY CUSTOMER IN THE TWELVE (12) MONTHS PRECEDING THE CLAIM. CUSTOMER'S LIABILITY UNDER THIS AGREEMENT IS UNCAPPED AND UNLIMITED, AND CUSTOMER SHALL BE LIABLE FOR ALL DIRECT, INDIRECT, INCIDENTAL, SPECIAL, AND CONSEQUENTIAL DAMAGES ARISING FROM ITS BREACH OF THIS AGREEMENT, WITHOUT LIMITATION.</w:t>
      </w:r>
    </w:p>
    <w:p>
      <w:pPr>
        <w:pStyle w:val="Heading2"/>
      </w:pPr>
      <w:r>
        <w:t>7. Governing Law</w:t>
      </w:r>
    </w:p>
    <w:p>
      <w:r>
        <w:t>This Agreement is governed by the laws of the State of Delaware, without regard to its conflict-of-laws principles. The parties consent to the exclusive jurisdiction of the state and federal courts located in Delaware.</w:t>
      </w:r>
    </w:p>
    <w:p>
      <w:pPr>
        <w:pStyle w:val="Heading2"/>
      </w:pPr>
      <w:r>
        <w:t>8. Assignment</w:t>
      </w:r>
    </w:p>
    <w:p>
      <w:r>
        <w:t>Neither party may assign this Agreement without the other's prior written consent, not to be unreasonably withheld, except to an affiliate or in connection with a merger, acquisition, or sale of substantially all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