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PROCESSING AGREEMENT</w:t>
      </w:r>
    </w:p>
    <w:p>
      <w:r>
        <w:t>This Data Processing Agreement (this "DPA") is incorporated by reference into that certain Master Services Agreement dated September 1, 2026, by and between Prism Analytics Inc., a Delaware corporation ("Controller"), and Cascade Data Services Ltd., a corporation organized under the laws of the Cayman Islands ("Processor"). This DPA governs the processing of personal data by Processor on behalf of Controller.</w:t>
      </w:r>
    </w:p>
    <w:p>
      <w:pPr>
        <w:pStyle w:val="Heading2"/>
      </w:pPr>
      <w:r>
        <w:t>1. Definitions</w:t>
      </w:r>
    </w:p>
    <w:p>
      <w:r>
        <w:t>As used in this DPA, terms shall have the meanings ascribed to them under the General Data Protection Regulation (GDPR) and, where applicable, other applicable data protection laws. "Personal Data" means any information relating to an identified or identifiable natural person. "Processing" means any operation performed on personal data. "Processor" means Cascade Data Services Ltd., which processes personal data on behalf of Controller. "Sub-processor" means any entity engaged by Processor to process personal data on behalf of Controller.</w:t>
      </w:r>
    </w:p>
    <w:p>
      <w:pPr>
        <w:pStyle w:val="Heading2"/>
      </w:pPr>
      <w:r>
        <w:t>2. Scope of Processing</w:t>
      </w:r>
    </w:p>
    <w:p>
      <w:r>
        <w:t>Processor shall process personal data only in accordance with the written instructions of Controller and only for the purpose of providing the services described in the Master Services Agreement. Processor shall not process personal data for any other purpose. Processing shall be limited to the categories of personal data, types of data subjects, types of processing, and duration as specified in the Data Processing Appendix attached as Exhibit A to this DPA.</w:t>
      </w:r>
    </w:p>
    <w:p>
      <w:pPr>
        <w:pStyle w:val="Heading2"/>
      </w:pPr>
      <w:r>
        <w:t>3. Sub-processor Appointment</w:t>
      </w:r>
    </w:p>
    <w:p>
      <w:r>
        <w:t>Processor may engage sub-processors at any time and at its sole discretion to perform processing activities, without prior notice to or consent from Controller. Processor shall not be required to inform Controller of the identity of any sub-processor, nor shall Controller have any right to object to or veto the appointment of sub-processors. Processor remains fully liable to Controller for performance of any sub-processor engaged.</w:t>
      </w:r>
    </w:p>
    <w:p>
      <w:pPr>
        <w:pStyle w:val="Heading2"/>
      </w:pPr>
      <w:r>
        <w:t>4. Security and Confidentiality</w:t>
      </w:r>
    </w:p>
    <w:p>
      <w:r>
        <w:t>Processor shall implement and maintain appropriate technical and organizational measures to ensure a level of security appropriate to the risk, including protection against unauthorized or unlawful processing and against accidental loss, destruction, or damage. Processor shall ensure that any persons authorized to process personal data on behalf of Processor have committed to confidentiality or are under an appropriate statutory obligation of confidentiality.</w:t>
      </w:r>
    </w:p>
    <w:p>
      <w:pPr>
        <w:pStyle w:val="Heading2"/>
      </w:pPr>
      <w:r>
        <w:t>5. Data Subject Rights</w:t>
      </w:r>
    </w:p>
    <w:p>
      <w:r>
        <w:t>Processor shall, taking into account the nature of processing, assist Controller by appropriate technical and organizational measures in fulfilling Controller's obligation to respond to data subject requests for access, correction, erasure, and data portability. Processor shall promptly inform Controller of any data subject request received and shall not respond directly to the data subject without Controller's prior written authorization.</w:t>
      </w:r>
    </w:p>
    <w:p>
      <w:pPr>
        <w:pStyle w:val="Heading2"/>
      </w:pPr>
      <w:r>
        <w:t>6. Data Breach Notification</w:t>
      </w:r>
    </w:p>
    <w:p>
      <w:r>
        <w:t>Processor shall notify Controller of any personal data breach without undue delay. No specific timeframe or deadline is specified for such notification. Processor shall provide such information as is available to Processor at the time of notification, and shall comply with any further instructions from Controller regarding the incident response. Processor bears no liability for delays in notification or for incomplete information.</w:t>
      </w:r>
    </w:p>
    <w:p>
      <w:pPr>
        <w:pStyle w:val="Heading2"/>
      </w:pPr>
      <w:r>
        <w:t>7. Audit and Inspection Rights</w:t>
      </w:r>
    </w:p>
    <w:p>
      <w:r>
        <w:t>Processor acknowledges that Controller is responsible for ensuring compliance with data protection laws. Processor shall make available to Controller only such information as Processor determines to be relevant in Processor's sole discretion. Controller shall have no independent right to audit, inspect, or examine Processor's facilities, systems, processes, or records. Any inquiries from Controller regarding Processor's processing activities shall be answered at Processor's option and in Processor's sole discretion.</w:t>
      </w:r>
    </w:p>
    <w:p>
      <w:pPr>
        <w:pStyle w:val="Heading2"/>
      </w:pPr>
      <w:r>
        <w:t>8. Data Return and Deletion</w:t>
      </w:r>
    </w:p>
    <w:p>
      <w:r>
        <w:t>Upon termination of the Master Services Agreement or upon Controller's request, Processor shall, at Processor's sole discretion, either return all personal data to Controller or delete all personal data in Processor's possession. Processor is not required to certify completion of deletion or return. Processor may retain personal data as required by applicable law or for its own business purposes, and Processor may continue to use anonymized or aggregated data derived from the personal data without restriction.</w:t>
      </w:r>
    </w:p>
    <w:p>
      <w:pPr>
        <w:pStyle w:val="Heading2"/>
      </w:pPr>
      <w:r>
        <w:t>9. International Transfers</w:t>
      </w:r>
    </w:p>
    <w:p>
      <w:r>
        <w:t>Processor may transfer personal data to any jurisdiction, including jurisdictions that have not been determined to provide an adequate level of data protection, at any time and for any reason. No adequacy determination, Standard Contractual Clause, Binding Corporate Rule, or other transfer mechanism is required. Processor shall not be obligated to inform Controller of transfers or to implement any safeguard for such transfers. Controller consents to such transfers by entering into this DPA.</w:t>
      </w:r>
    </w:p>
    <w:p>
      <w:pPr>
        <w:pStyle w:val="Heading2"/>
      </w:pPr>
      <w:r>
        <w:t>10. Governing Law</w:t>
      </w:r>
    </w:p>
    <w:p>
      <w:r>
        <w:t>This DPA shall be governed by and construed in accordance with the laws of the Cayman Islands, without regard to conflict-of-law principles. Any dispute shall be resolved through binding arbitration administered by the Cayman Islands Arbitration Association.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