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the date first written below (the "Effective Date"), between Pinnacle Analytics Inc., a Delaware corporation ("Company A"), and CloudSync Solutions Ltd., a British Columbia corporation ("Company B"), collectively referred to as the "Parties."</w:t>
      </w:r>
    </w:p>
    <w:p>
      <w:r>
        <w:t>WHEREAS, the Parties desire to explore a potential business opportunity and to exchange certain confidential, proprietary, and sensitive information for the purpose of evaluating such opportunity (the "Purpose"); and</w:t>
      </w:r>
    </w:p>
    <w:p>
      <w:r>
        <w:t>WHEREAS, the Parties wish to protect such information and establish procedures for the use and disclosure of the same;</w:t>
      </w:r>
    </w:p>
    <w:p>
      <w:r>
        <w:t>NOW, THEREFORE, the Parties agree as follows:</w:t>
      </w:r>
    </w:p>
    <w:p>
      <w:pPr>
        <w:pStyle w:val="Heading2"/>
      </w:pPr>
      <w:r>
        <w:t>1. Definition of Confidential Information</w:t>
      </w:r>
    </w:p>
    <w:p>
      <w:r>
        <w:t>For purposes of this Agreement, "Confidential Information" means any non-public, proprietary, or trade secret information (whether technical, commercial, financial, or strategic in nature) disclosed by one Party (the "Disclosing Party") to the other (the "Receiving Party"), regardless of the form or media of disclosure (written, oral, visual inspection, electronic, or otherwise), and whether or not marked as confidential. Confidential Information includes but is not limited to product plans, software code, algorithms, business strategies, customer lists, financial information, technical data, pricing information, and business processes. Confidential Information does NOT include any information that: (a) is or becomes publicly available through no breach of this Agreement by the Receiving Party; (b) was independently known to the Receiving Party without obligation of confidentiality, as evidenced by prior written records; (c) is independently developed by the Receiving Party without access to or use of the Confidential Information, as evidenced by written records; or (d) is rightfully received by the Receiving Party from a third party without restriction on disclosure, provided that the Receiving Party makes reasonable inquiry to determine whether the third party obtained it lawfully.</w:t>
      </w:r>
    </w:p>
    <w:p>
      <w:pPr>
        <w:pStyle w:val="Heading2"/>
      </w:pPr>
      <w:r>
        <w:t>2. Obligations of the Receiving Party</w:t>
      </w:r>
    </w:p>
    <w:p>
      <w:r>
        <w:t>Each Receiving Party shall: (a) maintain the confidentiality of the Disclosing Party's Confidential Information using the same degree of care it uses to protect its own confidential information, but in no event less than reasonable care; (b) use the Confidential Information solely for the Purpose and not for any other business purpose; (c) not disclose the Confidential Information to any third party except to employees, contractors, and professional advisors (including legal, financial, and technical advisors) on a need-to-know basis, provided that such persons are bound by written confidentiality obligations at least as protective as those contained herein and the Receiving Party remains responsible for their compliance; (d) not reverse engineer, disassemble, or attempt to derive the underlying concepts or source code of any technical Confidential Information without the prior written consent of the Disclosing Party; and (e) promptly notify the Disclosing Party in writing of any unauthorized access to, use of, or disclosure of the Confidential Information.</w:t>
      </w:r>
    </w:p>
    <w:p>
      <w:pPr>
        <w:pStyle w:val="Heading2"/>
      </w:pPr>
      <w:r>
        <w:t>3. Permitted Disclosures</w:t>
      </w:r>
    </w:p>
    <w:p>
      <w:r>
        <w:t>Notwithstanding Section 2, if the Receiving Party is required by applicable law, regulation, court order, or regulatory authority to disclose any Confidential Information, the Receiving Party shall, to the extent permitted by law: (a) promptly notify the Disclosing Party of such requirement in writing; (b) cooperate with the Disclosing Party in seeking a protective order or other remedy; and (c) disclose only the minimum Confidential Information legally required to be disclosed.</w:t>
      </w:r>
    </w:p>
    <w:p>
      <w:pPr>
        <w:pStyle w:val="Heading2"/>
      </w:pPr>
      <w:r>
        <w:t>4. Term and Survival</w:t>
      </w:r>
    </w:p>
    <w:p>
      <w:r>
        <w:t>This Agreement shall remain in effect for three (3) years from the Effective Date (the "Term"), unless earlier terminated by either Party upon thirty (30) days' written notice. The confidentiality obligations set forth in Section 2 shall survive termination of this Agreement for an additional three (3) years, except that obligations with respect to Confidential Information that constitutes a trade secret shall continue for so long as such information remains a trade secret under applicable law.</w:t>
      </w:r>
    </w:p>
    <w:p>
      <w:pPr>
        <w:pStyle w:val="Heading2"/>
      </w:pPr>
      <w:r>
        <w:t>5. Return or Destruction of Confidential Information</w:t>
      </w:r>
    </w:p>
    <w:p>
      <w:r>
        <w:t>Upon the Disclosing Party's written request or upon termination of this Agreement, the Receiving Party shall, at the Disclosing Party's election: (a) return all Confidential Information in tangible form (and all copies thereof) in the Receiving Party's possession or control; or (b) certify in writing that all such Confidential Information has been securely destroyed or deleted. Notwithstanding the foregoing, the Receiving Party may retain one archival copy of the Confidential Information solely for the purpose of demonstrating compliance with this Agreement, to be stored securely and subject to continued confidentiality obligations.</w:t>
      </w:r>
    </w:p>
    <w:p>
      <w:pPr>
        <w:pStyle w:val="Heading2"/>
      </w:pPr>
      <w:r>
        <w:t>6. No License or Obligation to Proceed</w:t>
      </w:r>
    </w:p>
    <w:p>
      <w:r>
        <w:t>Nothing in this Agreement grants either Party any license, right, or obligation with respect to the other Party's Confidential Information, patents, copyrights, trademarks, trade secrets, or other intellectual property. Neither Party is obligated by this Agreement to enter into any business transaction or relationship with the other Party. Either Party may terminate its participation in discussions regarding the Purpose at any time without penalty or liability.</w:t>
      </w:r>
    </w:p>
    <w:p>
      <w:pPr>
        <w:pStyle w:val="Heading2"/>
      </w:pPr>
      <w:r>
        <w:t>7. No Warranty</w:t>
      </w:r>
    </w:p>
    <w:p>
      <w:r>
        <w:t>EACH PARTY DISCLAIMS ANY WARRANTY, EXPRESS OR IMPLIED, WITH RESPECT TO THE CONFIDENTIAL INFORMATION, INCLUDING WITHOUT LIMITATION ANY WARRANTY OF MERCHANTABILITY, FITNESS FOR A PARTICULAR PURPOSE, OR NON-INFRINGEMENT. EACH PARTY PROVIDES ITS CONFIDENTIAL INFORMATION "AS IS" WITHOUT WARRANTY OF ANY KIND.</w:t>
      </w:r>
    </w:p>
    <w:p>
      <w:pPr>
        <w:pStyle w:val="Heading2"/>
      </w:pPr>
      <w:r>
        <w:t>8. Limitation of Liability</w:t>
      </w:r>
    </w:p>
    <w:p>
      <w:r>
        <w:t>IN NO EVENT SHALL EITHER PARTY BE LIABLE TO THE OTHER FOR ANY INDIRECT, INCIDENTAL, SPECIAL, CONSEQUENTIAL, OR PUNITIVE DAMAGES ARISING OUT OF OR RELATED TO THIS AGREEMENT, INCLUDING WITHOUT LIMITATION LOST PROFITS, LOSS OF DATA, OR BUSINESS INTERRUPTION, EVEN IF ADVISED OF THE POSSIBILITY OF SUCH DAMAGES. EACH PARTY'S TOTAL LIABILITY ARISING OUT OF OR RELATED TO THIS AGREEMENT SHALL NOT EXCEED ONE THOUSAND DOLLARS ($1,000.00).</w:t>
      </w:r>
    </w:p>
    <w:p>
      <w:pPr>
        <w:pStyle w:val="Heading2"/>
      </w:pPr>
      <w:r>
        <w:t>9. No Proprietary Relationship</w:t>
      </w:r>
    </w:p>
    <w:p>
      <w:r>
        <w:t>Nothing in this Agreement creates a partnership, joint venture, agency, or employment relationship between the Parties. Neither Party has authority to bind, represent, or act on behalf of the other Party except as expressly authorized in writing.</w:t>
      </w:r>
    </w:p>
    <w:p>
      <w:pPr>
        <w:pStyle w:val="Heading2"/>
      </w:pPr>
      <w:r>
        <w:t>10. Assignment</w:t>
      </w:r>
    </w:p>
    <w:p>
      <w:r>
        <w:t>Neither Party may assign this Agreement or any rights or obligations hereunder without the prior written consent of the other Party, which consent shall not be unreasonably withheld. Notwithstanding the foregoing, either Party may assign this Agreement without consent to an affiliate, or in connection with a merger, acquisition, or sale of substantially all of its assets, provided that the assigning Party remains liable for all its obligations hereunder and the assignee agrees in writing to be bound by the terms of this Agreement.</w:t>
      </w:r>
    </w:p>
    <w:p>
      <w:pPr>
        <w:pStyle w:val="Heading2"/>
      </w:pPr>
      <w:r>
        <w:t>11. Governing Law and Jurisdiction</w:t>
      </w:r>
    </w:p>
    <w:p>
      <w:r>
        <w:t>This Agreement shall be governed by and construed in accordance with the laws of the State of California, without regard to its conflicts of law principles. Each Party irrevocably consents to the exclusive jurisdiction of the state and federal courts located in San Francisco County, California, and waives any objection to venue or inconvenient forum in those courts.</w:t>
      </w:r>
    </w:p>
    <w:p>
      <w:pPr>
        <w:pStyle w:val="Heading2"/>
      </w:pPr>
      <w:r>
        <w:t>12. Equitable Relief</w:t>
      </w:r>
    </w:p>
    <w:p>
      <w:r>
        <w:t>Each Party acknowledges that a breach of this Agreement may cause irreparable harm for which monetary damages would be an inadequate remedy. Accordingly, in addition to any other remedies available at law or in equity, either Party shall be entitled to seek injunctive or other equitable relief to prevent or remedy any breach of this Agreement.</w:t>
      </w:r>
    </w:p>
    <w:p>
      <w:pPr>
        <w:pStyle w:val="Heading2"/>
      </w:pPr>
      <w:r>
        <w:t>13. Entire Agreement</w:t>
      </w:r>
    </w:p>
    <w:p>
      <w:r>
        <w:t>This Agreement constitutes the entire agreement between the Parties with respect to the subject matter hereof and supersedes all prior negotiations, understandings, and agreements, whether written or oral. This Agreement may not be amended or modified except by a written instrument signed by authorized representatives of both Parties.</w:t>
      </w:r>
    </w:p>
    <w:p>
      <w:pPr>
        <w:pStyle w:val="Heading2"/>
      </w:pPr>
      <w:r>
        <w:t>14. Severability</w:t>
      </w:r>
    </w:p>
    <w:p>
      <w:r>
        <w:t>If any provision of this Agreement is held by a court of competent jurisdiction to be invalid, illegal, or unenforceable, such provision shall be modified to the minimum extent necessary to make it enforceable, or if such modification is not possible, such provision shall be severed, and the remaining provisions shall remain in full force and effect.</w:t>
      </w:r>
    </w:p>
    <w:p>
      <w:pPr>
        <w:pStyle w:val="Heading2"/>
      </w:pPr>
      <w:r>
        <w:t>15. Counterparts and Electronic Signatures</w:t>
      </w:r>
    </w:p>
    <w:p>
      <w:r>
        <w:t>This Agreement may be executed in multiple counterparts, each of which shall be deemed an original and all of which together shall constitute one and the same instrument. Execution and delivery of this Agreement by electronic facsimile, PDF, or other electronic means shall have the same force and effect as delivery of manually executed originals.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