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CONFIDENTIALITY AND RESIDUALS AGREEMENT</w:t>
      </w:r>
    </w:p>
    <w:p>
      <w:r>
        <w:t>This Mutual Confidentiality and Residuals Agreement (this "Agreement") is entered into as of the date first written below (the "Effective Date"), between InnovateCorp Solutions, a Delaware corporation ("Company A"), and VendorPro Consulting, a state corporation ("Company B"), collectively referred to as the "Parties."</w:t>
      </w:r>
    </w:p>
    <w:p>
      <w:r>
        <w:t>WHEREAS, the Parties wish to share certain confidential business and technical information to evaluate a potential vendor relationship and integration of services (the "Purpose"); and</w:t>
      </w:r>
    </w:p>
    <w:p>
      <w:r>
        <w:t>NOW, THEREFORE, the Parties agree as follows:</w:t>
      </w:r>
    </w:p>
    <w:p>
      <w:pPr>
        <w:pStyle w:val="Heading2"/>
      </w:pPr>
      <w:r>
        <w:t>1. Confidential Information</w:t>
      </w:r>
    </w:p>
    <w:p>
      <w:r>
        <w:t>"Confidential Information" means any proprietary or non-public information disclosed by one Party to the other in connection with the Purpose, including but not limited to business plans, technical specifications, product roadmaps, customer information, pricing models, software code, and business strategies. Confidential Information does not include information that is or becomes publicly available through no breach of this Agreement, was already known to the Receiving Party without restriction, or is independently developed without use of the Confidential Information.</w:t>
      </w:r>
    </w:p>
    <w:p>
      <w:pPr>
        <w:pStyle w:val="Heading2"/>
      </w:pPr>
      <w:r>
        <w:t>2. Use and Protection</w:t>
      </w:r>
    </w:p>
    <w:p>
      <w:r>
        <w:t>Each Party shall protect the other Party's Confidential Information using reasonable care and shall use it solely for the Purpose. Neither Party shall disclose the Confidential Information to third parties except to employees and advisors on a need-to-know basis who are bound by confidentiality obligations. Each Party shall be liable for breaches by its employees and advisors.</w:t>
      </w:r>
    </w:p>
    <w:p>
      <w:pPr>
        <w:pStyle w:val="Heading2"/>
      </w:pPr>
      <w:r>
        <w:t>3. Residuals</w:t>
      </w:r>
    </w:p>
    <w:p>
      <w:r>
        <w:t>Notwithstanding any other provision in this Agreement, the Parties acknowledge and agree that employees and advisors of each Party may retain in unaided memory general ideas, concepts, know-how, and techniques concerning the Confidential Information ("Residuals"). Either Party may use Residuals without restriction or obligation to the other Party, provided that such use shall not violate any third-party intellectual property rights or constitute an unauthorized use of the other Party's trade secrets. For clarity, Residuals include any concepts, ideas, or mental impressions retained in the unaided memories of employees or agents, and neither Party has any obligation to account for or restrict such residual knowledge.</w:t>
      </w:r>
    </w:p>
    <w:p>
      <w:pPr>
        <w:pStyle w:val="Heading2"/>
      </w:pPr>
      <w:r>
        <w:t>4. Term</w:t>
      </w:r>
    </w:p>
    <w:p>
      <w:r>
        <w:t>This Agreement remains in effect for seven (7) years from the Effective Date, unless earlier terminated by mutual written agreement. The confidentiality obligations shall survive termination for the duration of the seven-year term only.</w:t>
      </w:r>
    </w:p>
    <w:p>
      <w:pPr>
        <w:pStyle w:val="Heading2"/>
      </w:pPr>
      <w:r>
        <w:t>5. Return of Information</w:t>
      </w:r>
    </w:p>
    <w:p>
      <w:r>
        <w:t>Upon written request or termination, each Party shall return or destroy Confidential Information at its discretion, except that each Party may retain one copy for archival compliance purposes.</w:t>
      </w:r>
    </w:p>
    <w:p>
      <w:pPr>
        <w:pStyle w:val="Heading2"/>
      </w:pPr>
      <w:r>
        <w:t>6. Governing Law</w:t>
      </w:r>
    </w:p>
    <w:p>
      <w:r>
        <w:t>This Agreement is governed by the laws of New York, without regard to conflicts of law. The Parties consent to the jurisdiction of the courts of New York County.</w:t>
      </w:r>
    </w:p>
    <w:p>
      <w:pPr>
        <w:pStyle w:val="Heading2"/>
      </w:pPr>
      <w:r>
        <w:t>7. Assignment</w:t>
      </w:r>
    </w:p>
    <w:p>
      <w:r>
        <w:t>Company B may assign this Agreement to any affiliate or in connection with a sale or merger without the consent of Company A, provided that Company B remains liable for performance. Company A may not assign this Agreement without the prior written consent of Company B.</w:t>
      </w:r>
    </w:p>
    <w:p>
      <w:pPr>
        <w:pStyle w:val="Heading2"/>
      </w:pPr>
      <w:r>
        <w:t>8. Warranty Disclaimer</w:t>
      </w:r>
    </w:p>
    <w:p>
      <w:r>
        <w:t>Each Party provides its Confidential Information "AS IS" without warranty of any kind, express or implied.</w:t>
      </w:r>
    </w:p>
    <w:p>
      <w:pPr>
        <w:pStyle w:val="Heading2"/>
      </w:pPr>
      <w:r>
        <w:t>9. Limitation of Liability</w:t>
      </w:r>
    </w:p>
    <w:p>
      <w:r>
        <w:t>Neither Party shall be liable for indirect, consequential, or special damages arising from this Agreement, except in cases of willful breach or violation of law. Each Party's liability shall not exceed the value of any fees paid or payable under this Agreement.</w:t>
      </w:r>
    </w:p>
    <w:p>
      <w:pPr>
        <w:pStyle w:val="Heading2"/>
      </w:pPr>
      <w:r>
        <w:t>10. Entire Agreement</w:t>
      </w:r>
    </w:p>
    <w:p>
      <w:r>
        <w:t>This Agreement constitutes the entire understanding of the Parties regarding confidentiality and supersedes all prior agreements on this subject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