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Q1: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The Art Competition has entries from three painters: Pam, Pia and Pablo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Pam put in 15 paintings, 4% of her works have won First Prize.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Pia put in 5 paintings, 6% of her works have won First Prize.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Pablo put in 10 paintings, 3% of his works have won First Prize.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What is the chance that Pam will win First Prize?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Q2: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In Exton School, 60% of the boys play football and 36% of the boys play ice hockey.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Given that 40% of those that play football also play ice hockey, what percent of those that play ice hockey also play football?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Q3: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In Exton School, 40% of the girls like music and 24% of the girls like dance.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Given that 30% of those that like music also like dance, what percent of those that like dance also like music?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Q4: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Wire manufactured by a company is tested for strength.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The test gives a correct positive result with a probability of 0.85 when the wire is strong, but gives an incorrect positive result (false positive) with a probability of 0.04 when in fact the wire is not strong.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If 98% of the wires are strong, and a wire chosen at random fails the test, what is the probability it really is not strong enough?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Q5: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35% of the children in Exton school have a tablet, and 24% have a smart phone.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Given that 42% of those that have smart phone also have a tablet, what percent of those that have a tablet also have a smart phone?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Q6: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A supermarket buys light globes (light bulbs) from three different manufacturers - Brightlight (35%), Glowglobe (20%) and Shinewell (45%).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In the past, the supermarket has found that 1% of Brightlight's globes are faulty, and that 1.5% of each of Glowglobe's and Shinewell's globes are faulty.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A customer buys a globe without looking at the manufacturer's name - in other words, it's a random choice. When she gets home, she finds the globe is faulty.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jc w:val="both"/>
        <w:rPr>
          <w:rFonts w:ascii="Calibri" w:cs="Calibri" w:eastAsia="Calibri" w:hAnsi="Calibri"/>
          <w:color w:val="073763"/>
        </w:rPr>
      </w:pPr>
      <w:r w:rsidDel="00000000" w:rsidR="00000000" w:rsidRPr="00000000">
        <w:rPr>
          <w:rFonts w:ascii="Calibri" w:cs="Calibri" w:eastAsia="Calibri" w:hAnsi="Calibri"/>
          <w:color w:val="073763"/>
          <w:rtl w:val="0"/>
        </w:rPr>
        <w:t xml:space="preserve">What is the probability she chose a Shinewell's globe?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Q7: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Marie is getting married tomorrow, at an outdoor ceremony in the desert. In recent years, it has rained  only 5 days each year. Unfortunately, the weatherman has predicted rain for tomorrow. When it actually  rains, the weatherman correctly forecasts rain 90% of the time. When it doesn't rain, he incorrectly  forecasts rain 10% of the time. What is the probability that it will rain on the day of Marie's wedding?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