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91B7B" w14:textId="098BC8E6" w:rsidR="003D3571" w:rsidRPr="00E0330E" w:rsidRDefault="00A14AAA" w:rsidP="00E0330E">
      <w:pPr>
        <w:spacing w:line="360" w:lineRule="auto"/>
        <w:jc w:val="both"/>
        <w:rPr>
          <w:rFonts w:ascii="Arial" w:hAnsi="Arial" w:cs="Arial"/>
          <w:sz w:val="24"/>
          <w:szCs w:val="24"/>
          <w:lang w:val="en-US"/>
        </w:rPr>
      </w:pPr>
      <w:r w:rsidRPr="00E0330E">
        <w:rPr>
          <w:rFonts w:ascii="Arial" w:hAnsi="Arial" w:cs="Arial"/>
          <w:sz w:val="24"/>
          <w:szCs w:val="24"/>
          <w:lang w:val="en-US"/>
        </w:rPr>
        <w:t>9.</w:t>
      </w:r>
      <w:r w:rsidRPr="00E0330E">
        <w:rPr>
          <w:rFonts w:ascii="Arial" w:hAnsi="Arial" w:cs="Arial"/>
          <w:sz w:val="24"/>
          <w:szCs w:val="24"/>
          <w:lang w:val="en-US"/>
        </w:rPr>
        <w:tab/>
        <w:t>At the outset the suit is not maintainable for want of cause of action. Besides, the suit was filed against dead person namely the 1</w:t>
      </w:r>
      <w:r w:rsidRPr="00E0330E">
        <w:rPr>
          <w:rFonts w:ascii="Arial" w:hAnsi="Arial" w:cs="Arial"/>
          <w:sz w:val="24"/>
          <w:szCs w:val="24"/>
          <w:vertAlign w:val="superscript"/>
          <w:lang w:val="en-US"/>
        </w:rPr>
        <w:t>st</w:t>
      </w:r>
      <w:r w:rsidRPr="00E0330E">
        <w:rPr>
          <w:rFonts w:ascii="Arial" w:hAnsi="Arial" w:cs="Arial"/>
          <w:sz w:val="24"/>
          <w:szCs w:val="24"/>
          <w:lang w:val="en-US"/>
        </w:rPr>
        <w:t xml:space="preserve"> respondent died even prior to the date of filing suit. Hence, the suit against 1</w:t>
      </w:r>
      <w:r w:rsidRPr="00E0330E">
        <w:rPr>
          <w:rFonts w:ascii="Arial" w:hAnsi="Arial" w:cs="Arial"/>
          <w:sz w:val="24"/>
          <w:szCs w:val="24"/>
          <w:vertAlign w:val="superscript"/>
          <w:lang w:val="en-US"/>
        </w:rPr>
        <w:t>st</w:t>
      </w:r>
      <w:r w:rsidRPr="00E0330E">
        <w:rPr>
          <w:rFonts w:ascii="Arial" w:hAnsi="Arial" w:cs="Arial"/>
          <w:sz w:val="24"/>
          <w:szCs w:val="24"/>
          <w:lang w:val="en-US"/>
        </w:rPr>
        <w:t xml:space="preserve"> respondent itself is not maintainable and thereby the petitioners have no locus standi to get this respondent impleaded as party to proceedings.</w:t>
      </w:r>
    </w:p>
    <w:p w14:paraId="63B2FA52" w14:textId="6C72A25C" w:rsidR="00A14AAA" w:rsidRPr="00E0330E" w:rsidRDefault="00A14AAA" w:rsidP="00E0330E">
      <w:pPr>
        <w:spacing w:line="360" w:lineRule="auto"/>
        <w:jc w:val="both"/>
        <w:rPr>
          <w:rFonts w:ascii="Arial" w:hAnsi="Arial" w:cs="Arial"/>
          <w:sz w:val="24"/>
          <w:szCs w:val="24"/>
          <w:lang w:val="en-US"/>
        </w:rPr>
      </w:pPr>
      <w:r w:rsidRPr="00E0330E">
        <w:rPr>
          <w:rFonts w:ascii="Arial" w:hAnsi="Arial" w:cs="Arial"/>
          <w:sz w:val="24"/>
          <w:szCs w:val="24"/>
          <w:lang w:val="en-US"/>
        </w:rPr>
        <w:t>10.</w:t>
      </w:r>
      <w:r w:rsidRPr="00E0330E">
        <w:rPr>
          <w:rFonts w:ascii="Arial" w:hAnsi="Arial" w:cs="Arial"/>
          <w:sz w:val="24"/>
          <w:szCs w:val="24"/>
          <w:lang w:val="en-US"/>
        </w:rPr>
        <w:tab/>
      </w:r>
      <w:r w:rsidR="00D35BC7" w:rsidRPr="00E0330E">
        <w:rPr>
          <w:rFonts w:ascii="Arial" w:hAnsi="Arial" w:cs="Arial"/>
          <w:sz w:val="24"/>
          <w:szCs w:val="24"/>
          <w:lang w:val="en-US"/>
        </w:rPr>
        <w:t xml:space="preserve">This respondent at the outset submits that the petitioners are not owners of the suit property. The alleged Sale Deed dated 15.02.2011 said to have been executed by TNHB in </w:t>
      </w:r>
      <w:proofErr w:type="spellStart"/>
      <w:r w:rsidR="00D35BC7" w:rsidRPr="00E0330E">
        <w:rPr>
          <w:rFonts w:ascii="Arial" w:hAnsi="Arial" w:cs="Arial"/>
          <w:sz w:val="24"/>
          <w:szCs w:val="24"/>
          <w:lang w:val="en-US"/>
        </w:rPr>
        <w:t>favour</w:t>
      </w:r>
      <w:proofErr w:type="spellEnd"/>
      <w:r w:rsidR="00D35BC7" w:rsidRPr="00E0330E">
        <w:rPr>
          <w:rFonts w:ascii="Arial" w:hAnsi="Arial" w:cs="Arial"/>
          <w:sz w:val="24"/>
          <w:szCs w:val="24"/>
          <w:lang w:val="en-US"/>
        </w:rPr>
        <w:t xml:space="preserve"> of plaintiffs are bogus for the reason that as per information gathered by this respondent in RTI, the TNHB by their reply dated ____ stated that the TNHB did not at all execute any Sale Deed dated 15.02.2011 in </w:t>
      </w:r>
      <w:proofErr w:type="spellStart"/>
      <w:r w:rsidR="00D35BC7" w:rsidRPr="00E0330E">
        <w:rPr>
          <w:rFonts w:ascii="Arial" w:hAnsi="Arial" w:cs="Arial"/>
          <w:sz w:val="24"/>
          <w:szCs w:val="24"/>
          <w:lang w:val="en-US"/>
        </w:rPr>
        <w:t>favour</w:t>
      </w:r>
      <w:proofErr w:type="spellEnd"/>
      <w:r w:rsidR="00D35BC7" w:rsidRPr="00E0330E">
        <w:rPr>
          <w:rFonts w:ascii="Arial" w:hAnsi="Arial" w:cs="Arial"/>
          <w:sz w:val="24"/>
          <w:szCs w:val="24"/>
          <w:lang w:val="en-US"/>
        </w:rPr>
        <w:t xml:space="preserve"> of petitioners and thereby the plaintiffs have no locus standi to file the suit at all. So also, the plaint description </w:t>
      </w:r>
      <w:r w:rsidR="005E0607" w:rsidRPr="00E0330E">
        <w:rPr>
          <w:rFonts w:ascii="Arial" w:hAnsi="Arial" w:cs="Arial"/>
          <w:sz w:val="24"/>
          <w:szCs w:val="24"/>
          <w:lang w:val="en-US"/>
        </w:rPr>
        <w:t>of property is false. However</w:t>
      </w:r>
      <w:r w:rsidR="007B0DD4" w:rsidRPr="00E0330E">
        <w:rPr>
          <w:rFonts w:ascii="Arial" w:hAnsi="Arial" w:cs="Arial"/>
          <w:sz w:val="24"/>
          <w:szCs w:val="24"/>
          <w:lang w:val="en-US"/>
        </w:rPr>
        <w:t>,</w:t>
      </w:r>
      <w:r w:rsidR="005E0607" w:rsidRPr="00E0330E">
        <w:rPr>
          <w:rFonts w:ascii="Arial" w:hAnsi="Arial" w:cs="Arial"/>
          <w:sz w:val="24"/>
          <w:szCs w:val="24"/>
          <w:lang w:val="en-US"/>
        </w:rPr>
        <w:t xml:space="preserve"> the 1</w:t>
      </w:r>
      <w:r w:rsidR="005E0607" w:rsidRPr="00E0330E">
        <w:rPr>
          <w:rFonts w:ascii="Arial" w:hAnsi="Arial" w:cs="Arial"/>
          <w:sz w:val="24"/>
          <w:szCs w:val="24"/>
          <w:vertAlign w:val="superscript"/>
          <w:lang w:val="en-US"/>
        </w:rPr>
        <w:t>st</w:t>
      </w:r>
      <w:r w:rsidR="005E0607" w:rsidRPr="00E0330E">
        <w:rPr>
          <w:rFonts w:ascii="Arial" w:hAnsi="Arial" w:cs="Arial"/>
          <w:sz w:val="24"/>
          <w:szCs w:val="24"/>
          <w:lang w:val="en-US"/>
        </w:rPr>
        <w:t xml:space="preserve"> defendant bought the suit property as per Sale Deed dated 03.09.</w:t>
      </w:r>
      <w:r w:rsidR="005E0607" w:rsidRPr="00E0330E">
        <w:rPr>
          <w:rFonts w:ascii="Arial" w:hAnsi="Arial" w:cs="Arial"/>
          <w:sz w:val="24"/>
          <w:szCs w:val="24"/>
          <w:highlight w:val="yellow"/>
          <w:lang w:val="en-US"/>
        </w:rPr>
        <w:t>19</w:t>
      </w:r>
      <w:r w:rsidR="007B0DD4" w:rsidRPr="00E0330E">
        <w:rPr>
          <w:rFonts w:ascii="Arial" w:hAnsi="Arial" w:cs="Arial"/>
          <w:sz w:val="24"/>
          <w:szCs w:val="24"/>
          <w:highlight w:val="yellow"/>
          <w:lang w:val="en-US"/>
        </w:rPr>
        <w:t>97</w:t>
      </w:r>
      <w:r w:rsidR="007B0DD4" w:rsidRPr="00E0330E">
        <w:rPr>
          <w:rFonts w:ascii="Arial" w:hAnsi="Arial" w:cs="Arial"/>
          <w:sz w:val="24"/>
          <w:szCs w:val="24"/>
          <w:lang w:val="en-US"/>
        </w:rPr>
        <w:t xml:space="preserve"> from his vendor </w:t>
      </w:r>
      <w:r w:rsidR="007B0DD4" w:rsidRPr="00E0330E">
        <w:rPr>
          <w:rFonts w:ascii="Arial" w:hAnsi="Arial" w:cs="Arial"/>
          <w:sz w:val="24"/>
          <w:szCs w:val="24"/>
          <w:highlight w:val="yellow"/>
          <w:lang w:val="en-US"/>
        </w:rPr>
        <w:t>Rangasamy</w:t>
      </w:r>
      <w:r w:rsidR="007B0DD4" w:rsidRPr="00E0330E">
        <w:rPr>
          <w:rFonts w:ascii="Arial" w:hAnsi="Arial" w:cs="Arial"/>
          <w:sz w:val="24"/>
          <w:szCs w:val="24"/>
          <w:lang w:val="en-US"/>
        </w:rPr>
        <w:t xml:space="preserve"> who in </w:t>
      </w:r>
      <w:proofErr w:type="spellStart"/>
      <w:r w:rsidR="007B0DD4" w:rsidRPr="00E0330E">
        <w:rPr>
          <w:rFonts w:ascii="Arial" w:hAnsi="Arial" w:cs="Arial"/>
          <w:sz w:val="24"/>
          <w:szCs w:val="24"/>
          <w:lang w:val="en-US"/>
        </w:rPr>
        <w:t>favour</w:t>
      </w:r>
      <w:proofErr w:type="spellEnd"/>
      <w:r w:rsidR="007B0DD4" w:rsidRPr="00E0330E">
        <w:rPr>
          <w:rFonts w:ascii="Arial" w:hAnsi="Arial" w:cs="Arial"/>
          <w:sz w:val="24"/>
          <w:szCs w:val="24"/>
          <w:lang w:val="en-US"/>
        </w:rPr>
        <w:t xml:space="preserve"> purchased the same under Sale Deed dated 10.04.1981. Whereas, the said </w:t>
      </w:r>
      <w:r w:rsidR="007B0DD4" w:rsidRPr="00E0330E">
        <w:rPr>
          <w:rFonts w:ascii="Arial" w:hAnsi="Arial" w:cs="Arial"/>
          <w:sz w:val="24"/>
          <w:szCs w:val="24"/>
          <w:highlight w:val="yellow"/>
          <w:lang w:val="en-US"/>
        </w:rPr>
        <w:t>Balraj</w:t>
      </w:r>
      <w:r w:rsidR="007B0DD4" w:rsidRPr="00E0330E">
        <w:rPr>
          <w:rFonts w:ascii="Arial" w:hAnsi="Arial" w:cs="Arial"/>
          <w:sz w:val="24"/>
          <w:szCs w:val="24"/>
          <w:lang w:val="en-US"/>
        </w:rPr>
        <w:t xml:space="preserve"> thereafter bequeathed the said property to this respondent as per registered Will dated 25.05.2012 and thereby he is the </w:t>
      </w:r>
      <w:r w:rsidR="00BA105A" w:rsidRPr="00E0330E">
        <w:rPr>
          <w:rFonts w:ascii="Arial" w:hAnsi="Arial" w:cs="Arial"/>
          <w:sz w:val="24"/>
          <w:szCs w:val="24"/>
          <w:lang w:val="en-US"/>
        </w:rPr>
        <w:t xml:space="preserve">owner of the property set out therein namely an extent of 2043 </w:t>
      </w:r>
      <w:proofErr w:type="spellStart"/>
      <w:r w:rsidR="00BA105A" w:rsidRPr="00E0330E">
        <w:rPr>
          <w:rFonts w:ascii="Arial" w:hAnsi="Arial" w:cs="Arial"/>
          <w:sz w:val="24"/>
          <w:szCs w:val="24"/>
          <w:lang w:val="en-US"/>
        </w:rPr>
        <w:t>sq.ft</w:t>
      </w:r>
      <w:proofErr w:type="spellEnd"/>
      <w:r w:rsidR="00BA105A" w:rsidRPr="00E0330E">
        <w:rPr>
          <w:rFonts w:ascii="Arial" w:hAnsi="Arial" w:cs="Arial"/>
          <w:sz w:val="24"/>
          <w:szCs w:val="24"/>
          <w:lang w:val="en-US"/>
        </w:rPr>
        <w:t xml:space="preserve">. in S.F.No.3 in </w:t>
      </w:r>
      <w:r w:rsidR="00BA105A" w:rsidRPr="00E0330E">
        <w:rPr>
          <w:rFonts w:ascii="Arial" w:hAnsi="Arial" w:cs="Arial"/>
          <w:sz w:val="24"/>
          <w:szCs w:val="24"/>
          <w:highlight w:val="yellow"/>
          <w:lang w:val="en-US"/>
        </w:rPr>
        <w:t>Krishna__</w:t>
      </w:r>
      <w:r w:rsidR="007B0DD4" w:rsidRPr="00E0330E">
        <w:rPr>
          <w:rFonts w:ascii="Arial" w:hAnsi="Arial" w:cs="Arial"/>
          <w:sz w:val="24"/>
          <w:szCs w:val="24"/>
          <w:lang w:val="en-US"/>
        </w:rPr>
        <w:t xml:space="preserve"> </w:t>
      </w:r>
      <w:r w:rsidR="00BA105A" w:rsidRPr="00E0330E">
        <w:rPr>
          <w:rFonts w:ascii="Arial" w:hAnsi="Arial" w:cs="Arial"/>
          <w:sz w:val="24"/>
          <w:szCs w:val="24"/>
          <w:lang w:val="en-US"/>
        </w:rPr>
        <w:t xml:space="preserve">village, Coimbatore. However, by creating bogus Sale Deed in </w:t>
      </w:r>
      <w:proofErr w:type="spellStart"/>
      <w:r w:rsidR="00BA105A" w:rsidRPr="00E0330E">
        <w:rPr>
          <w:rFonts w:ascii="Arial" w:hAnsi="Arial" w:cs="Arial"/>
          <w:sz w:val="24"/>
          <w:szCs w:val="24"/>
          <w:lang w:val="en-US"/>
        </w:rPr>
        <w:t>favour</w:t>
      </w:r>
      <w:proofErr w:type="spellEnd"/>
      <w:r w:rsidR="00BA105A" w:rsidRPr="00E0330E">
        <w:rPr>
          <w:rFonts w:ascii="Arial" w:hAnsi="Arial" w:cs="Arial"/>
          <w:sz w:val="24"/>
          <w:szCs w:val="24"/>
          <w:lang w:val="en-US"/>
        </w:rPr>
        <w:t xml:space="preserve"> of plaintiffs, the present suit has been</w:t>
      </w:r>
      <w:r w:rsidR="00A723D2" w:rsidRPr="00E0330E">
        <w:rPr>
          <w:rFonts w:ascii="Arial" w:hAnsi="Arial" w:cs="Arial"/>
          <w:sz w:val="24"/>
          <w:szCs w:val="24"/>
          <w:lang w:val="en-US"/>
        </w:rPr>
        <w:t xml:space="preserve"> come up. Besides, a fresh suit in O.S.No.249/2024 is also filed by petitioners herein for the same reliefs without obtaining leave of court. However, both suits are not maintainable in eye of law and on facts of the </w:t>
      </w:r>
      <w:proofErr w:type="spellStart"/>
      <w:proofErr w:type="gramStart"/>
      <w:r w:rsidR="00A723D2" w:rsidRPr="00E0330E">
        <w:rPr>
          <w:rFonts w:ascii="Arial" w:hAnsi="Arial" w:cs="Arial"/>
          <w:sz w:val="24"/>
          <w:szCs w:val="24"/>
          <w:lang w:val="en-US"/>
        </w:rPr>
        <w:t>case.</w:t>
      </w:r>
      <w:r w:rsidR="004F3FBB" w:rsidRPr="00E0330E">
        <w:rPr>
          <w:rFonts w:ascii="Arial" w:hAnsi="Arial" w:cs="Arial"/>
          <w:sz w:val="24"/>
          <w:szCs w:val="24"/>
          <w:lang w:val="en-US"/>
        </w:rPr>
        <w:t>Hence</w:t>
      </w:r>
      <w:proofErr w:type="spellEnd"/>
      <w:proofErr w:type="gramEnd"/>
      <w:r w:rsidR="004F3FBB" w:rsidRPr="00E0330E">
        <w:rPr>
          <w:rFonts w:ascii="Arial" w:hAnsi="Arial" w:cs="Arial"/>
          <w:sz w:val="24"/>
          <w:szCs w:val="24"/>
          <w:lang w:val="en-US"/>
        </w:rPr>
        <w:t>, the petitioners have no locus standi to get this respondent impleaded in the above suit. As such the petition is devoid of merits.</w:t>
      </w:r>
      <w:r w:rsidR="00A723D2" w:rsidRPr="00E0330E">
        <w:rPr>
          <w:rFonts w:ascii="Arial" w:hAnsi="Arial" w:cs="Arial"/>
          <w:sz w:val="24"/>
          <w:szCs w:val="24"/>
          <w:lang w:val="en-US"/>
        </w:rPr>
        <w:t xml:space="preserve"> </w:t>
      </w:r>
    </w:p>
    <w:sectPr w:rsidR="00A14AAA" w:rsidRPr="00E033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AAA"/>
    <w:rsid w:val="003D3571"/>
    <w:rsid w:val="004F3FBB"/>
    <w:rsid w:val="005E0607"/>
    <w:rsid w:val="007B0DD4"/>
    <w:rsid w:val="00A14AAA"/>
    <w:rsid w:val="00A723D2"/>
    <w:rsid w:val="00BA105A"/>
    <w:rsid w:val="00D35BC7"/>
    <w:rsid w:val="00DF0F05"/>
    <w:rsid w:val="00E0330E"/>
    <w:rsid w:val="00EF77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8CF03"/>
  <w15:chartTrackingRefBased/>
  <w15:docId w15:val="{124BC77C-516B-4A5B-A2C9-B28FAB543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268</Words>
  <Characters>1532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ragav</dc:creator>
  <cp:keywords/>
  <dc:description/>
  <cp:lastModifiedBy>karthik ragav</cp:lastModifiedBy>
  <cp:revision>6</cp:revision>
  <dcterms:created xsi:type="dcterms:W3CDTF">2024-04-08T10:54:00Z</dcterms:created>
  <dcterms:modified xsi:type="dcterms:W3CDTF">2024-04-08T12:06:00Z</dcterms:modified>
</cp:coreProperties>
</file>