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bookmarkStart w:colFirst="0" w:colLast="0" w:name="_fptc9e315wlx" w:id="0"/>
      <w:bookmarkEnd w:id="0"/>
      <w:r w:rsidDel="00000000" w:rsidR="00000000" w:rsidRPr="00000000">
        <w:rPr>
          <w:rFonts w:ascii="Arial" w:cs="Arial" w:eastAsia="Arial" w:hAnsi="Arial"/>
          <w:b w:val="1"/>
          <w:sz w:val="24"/>
          <w:szCs w:val="24"/>
          <w:u w:val="single"/>
          <w:rtl w:val="0"/>
        </w:rPr>
        <w:t xml:space="preserve">IN THE COURT OF THE HONOURABLE PRINCIPAL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O.S.NO.1225 OF 2022</w:t>
      </w:r>
    </w:p>
    <w:p w:rsidR="00000000" w:rsidDel="00000000" w:rsidP="00000000" w:rsidRDefault="00000000" w:rsidRPr="00000000" w14:paraId="0000000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A.R.Gnanasekaran</w:t>
      </w:r>
    </w:p>
    <w:p w:rsidR="00000000" w:rsidDel="00000000" w:rsidP="00000000" w:rsidRDefault="00000000" w:rsidRPr="00000000" w14:paraId="000000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G.Vallikannu</w:t>
        <w:tab/>
        <w:tab/>
        <w:tab/>
        <w:tab/>
        <w:tab/>
        <w:t xml:space="preserve">-</w:t>
        <w:tab/>
        <w:t xml:space="preserve">Plaintiffs</w:t>
      </w:r>
    </w:p>
    <w:p w:rsidR="00000000" w:rsidDel="00000000" w:rsidP="00000000" w:rsidRDefault="00000000" w:rsidRPr="00000000" w14:paraId="0000000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ab/>
        <w:t xml:space="preserve">-Vs-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1.Bhuvana Diamond Hill Apartment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Owners Association,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 by its President T.Thangavel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2.Bhuvana Diamond Hill Apartment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Owners Association,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 by its Treasurer G.Balaji </w:t>
        <w:tab/>
        <w:tab/>
        <w:tab/>
        <w:t xml:space="preserve">-</w:t>
        <w:tab/>
        <w:t xml:space="preserve">Defendant Nos.1 and 3</w:t>
      </w:r>
    </w:p>
    <w:p w:rsidR="00000000" w:rsidDel="00000000" w:rsidP="00000000" w:rsidRDefault="00000000" w:rsidRPr="00000000" w14:paraId="0000000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NO.3 ADOPTED BY DEFENDANT NO.1</w:t>
      </w:r>
    </w:p>
    <w:p w:rsidR="00000000" w:rsidDel="00000000" w:rsidP="00000000" w:rsidRDefault="00000000" w:rsidRPr="00000000" w14:paraId="0000001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are put to strict proof of all the allegations except those that are specifically admitted herein.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 of the plaint that the plaintiffs purchased suit property viz., Item Nos. 1 and 2 being undivided share of land from the land owners namely Soundararajan, Pandiyammal, Chandran @ Jayachandra @ Jayachandran, Harish @ Justin Harish and Balaji through their Power Agent namely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herein as per two Sale Deeds dated 09.05.2016, registered as Doc.Nos.3334/2016 and 3336/2016 at SRO, Ganapathy are all stoutly and categorically denied as false, since there is no title passed on to plaintiffs through those alleged Title Deeds for the reasons set out in the written statement herein.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2 of the plaint that the plaintiffs being partners of M/s.Bhuvana Promoters entered into a Joint Development Agreement on 31.08.2012 with the land owners for the purpose of constructing multi-storied apartment on 62:38 ratio and also a Power of Attorney dated 14.09.2012 was executed by the land owners in favour of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for getting approved plan are admitted as true. Otherwise, to say, the land owners conveyed 62% of UDS to developer and in consideration of the same, the developer agreed to put up superstructure over the remaining 38% of UDS towards land owner’s share.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of the plaint that the plaintiffs handed over 38% of super built-up area towards owner’s share and subsequently on 09.05.2016,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as power agent of land owner sold undivided share of land i.e. Item Nos.1 and 2 of suit property to plaintiff nos.1 and 2 in personal capacity and also two Construction Agreements were entered between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and M/s.Bhuvana Promoters as per Doc.Nos.3333/2016 and 3335/2016 at SRO, Ganapathy to construct two Penthouses in suit properties with covered car park together with all rights appended to it and those Sale Deeds were acted upon and constructions are completed and thereby the plaintiffs are in peaceful possession and enjoyment of those properties are all stoutly and categorically denied as false for the reasons that as against law the plaintiffs being partners of M/s.Bhuvana Promoters as well as in personal capacity created those documents which are non-est in eye of law and the plaintiffs are also not in possession of suit properties.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4 to 7 of the plaint that the plaintiffs have availed loan from ICICI Bank and the revenue records including all amenities, assessment records stood in their name and the entire apartment consists of 132 flats along with two Penthouses and in which, the plaintiffs in the capacity of promoters sold their share to plaintiffs and the promoters are maintaining the apartment and  now the association is looking after the entire maintenance affairs of the apartments and there were no issues regarding the maintenance of apartment for a period of 6 years prior to maintenance taken over by association and the promoters spent 60% of their own money for maintenance of apartment and the developers are retaining original documents since, the land owners have to pay outstanding to them and on demand of those outstanding, the land owners cancelled the General Power of Attorney and thereafter on 04.11.2022 the land owners have disturbed plaintiff’s possession of suit property and thereby they approached Saravanampatti police in this regard who in turn advised the plaintiffs to approach Civil Court etc., and thereby the plaintiffs have become constrained to file another suit in O.S.No.1183/2022 before this Hon’ble Court and obtained ad-interim relief and thereby enjoying the suit property is an utter false for the reasons that the plaintiffs are not occupying the suit property at present.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averments in para 8 of the plaint that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association formed with 132 residents all of a sudden and on 17.112022 they attempted to trespass the suit property etc., are all stoutly and categorically denied as false. The averments that they apprehend threats on the hands of these defendant and thereby they become constrained to file the suit and they also have prima facie and balance of convenience etc., are all stoutly and categorically denied as false. The alleged cause of actions are also false.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this defendant submits that the present suit is not maintainable in eye of law and on facts of the case. This defendant denies the entire averments set out in plaint as false and untenable except those that are specially admitted herein. Moreso, the above suit is not maintainable for want of cause of action and thereby barred under law. Besides, the plaintiff has not approached this Hon’ble Court with clean hands and the present suit is an abuse of process of law and thereby liable to be dismissed in liminie. This defendant submits that the plaintiffs in the capacity of individual persons and also in the capacity of Managing Partners of M/s.Bhuvana Promoters played a fraud on this defendant represented by its members of flat buyers and others as the land owners and also on the Government, viz., Local Planning Authority and also by abusing process of law, filed the present suit seeking injunction with false and vexatious contention without any legal right to maintain the same. So also, there is no cause of action for filing the suit and the present suit is filed by suppressing primary facts of the case.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further submits that as per approved building plan, the developers are permitted to construct only 132 flats and nothing more. However, as against approved building plan, the plaintiffs being Managing Partners of M/s.Bhuvana Promoters put up Penthouses in roof area of the apartments and  created construction agreements between themselves as if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at the capacity of Managing Director of M/s Bhuvana Promoters entered into construction agreement with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in her individual capacity as Purchaser and she also entered into another construction agreement with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in his individual capacity as Purchaser and registered the same as Doc.Nos.3333/2016 and 3335/2016 which law does not permit, more particularly under the RERA Act.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defendant submits that unless the plaintiffs in their capacity as promoters were permitted to put up Penthouses in pursuance of the approved building plan and formed it as a part of Joint Venture Agreement already entered into with the land owners, the plaintiffs cannot construct those Penthouses as against it. However, there is no approved plan for constructing Penthouses and as such, the same has been constructed against law by violating building rules and the plaintiffs as Managing Partner of M/s.Bhuvana Promoters put up such illegal Penthouses and in order to legalise it, got the construction agreement registered in their favour without knowledge of anyone including true owners. Besides, the land owners also not permitted the plaintiffs to put up such pent houses in violation of building rules.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also submits that the plaintiff by misusing the Power of Attorney given by the land owners of obtaining building approved plan and to sell 62% of their UDS corresponding to their flats, the plaintiffs in the capacity of Managing Partner of M/s.Bhuvana Promoters cum Power Agent of land owners created those two Sale Deed dated 09.05.2016, registered as Doc.No.3334/2016 and 3336/2016 by allotting UDS of 339 sq.ft of each in their favour which is against law and also as against the consent and knowledge of land owners. Besides, such Sale Deeds pertaining to UDS i.e., Item Nos.1 and 2 of suit property cannot at all be executed as against the Government norms of FSI. Thus, the plaintiffs played fraud in creating such void documents as referred above which are non-est in eye of law and thereby based on such unlawful act, they have no right to approach the court of law seeing equitable relief of injunction at the inconvenience of land owners as well as members of association who purchased the flats. The plaintiffs by using the court as shield for their unlawful act, filed the present suit by abusing process of law. Thus, the plaintiffs have not approached this Hon’ble Court with clean hands. The plaintiff wants equitable remedy for an illegal act which law does not permit for want of cause of action.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sum up, the plaintiffs in the capacity of promoters have built two penthouses which are illegal and violation of buildings rules since it is not covered under approved building plan and they also created two Sale Deeds corresponding to it as if UDS were sold to them which are all nothing but illegal act of plaintiffs and as such, they cannot seek any relief of injunction for want of cause of action. Besides, the plaintiffs were never in possession of the suit properties. So also, the approved building plan as cited by plaintiffs in description of property by itself does not disclose the permission for construction of Penthouses over the roof of apartments which also belongs to the occupant of individual flats who bought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Furthermore, as per the approved building plan, there are no provision for construction of pent houses and also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should have sold 29,665.34 sq.ft of UDS in Block No.A but sold 29,353.53 sq.ft with a difference of 311.81 sq.ft which she retained herself without any right. Likewise,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should have sold 31,066.73 sq.ft of UDS in Block No.B but sold 30,701.09 sq.ft with a difference of 365.64 sq.ft which she retained without the knowledge of such buyers or land owners which is otherwise a land grabbing. This defendant submits that the purchasers namely the members of the association are not aware of such retainment of UDS by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and also about the subsequent creation of Sale Deed and Construction Agreement between the plaintiffs in the capacity of promoters and individuals as aforesaid, which they had created only with the sole intention to put up pent houses illegally by violating building rules and to have valid title for such illegal construction, they created sham and nominal Sale Deed Doc.Nos.3334/2016 and 3336/2016 referred above among themselves which are otherwise null and void and liable to be set-aside.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defendant further submits that under these circumstances, the plaintiffs have not approached this hon’ble court with clean hands, but by suppression of facts filed the present vexatious suit by claiming equitable relief for their unlawful act. There is no prima facie case for plaintiffs and the balance of convenience is also in favour of the defendants. The plaintiffs both in individual capacity as well as promoter created void documents as against law and based on such unlawful title deeds approached this hon’ble court with unclean hands seeking equitable relief for which they are not entitled. There is no cause of action for the plaintiffs to file the above suit since they have no valid title over Item Nos. 1 and 2 as per approved building plan and thus, the suit is devoid of merits and liable to be dismissed. This defendant oppose that the land owners are liable to pay a sum of Rs.1,43,34,540/- to plaintiff which is otherwise false. This defendant also reserves right to file additional written statement in case of necessity by the newly elected office bearers.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maybe pleased to dismiss the suit with costs and thus render justice.</w:t>
      </w:r>
    </w:p>
    <w:p w:rsidR="00000000" w:rsidDel="00000000" w:rsidP="00000000" w:rsidRDefault="00000000" w:rsidRPr="00000000" w14:paraId="0000002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3</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3</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3</w:t>
      </w:r>
      <w:r w:rsidDel="00000000" w:rsidR="00000000" w:rsidRPr="00000000">
        <w:rPr>
          <w:rFonts w:ascii="Arial" w:cs="Arial" w:eastAsia="Arial" w:hAnsi="Arial"/>
          <w:b w:val="1"/>
          <w:sz w:val="24"/>
          <w:szCs w:val="24"/>
          <w:vertAlign w:val="superscript"/>
          <w:rtl w:val="0"/>
        </w:rPr>
        <w:t xml:space="preserve">rd</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3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Written Statement filed by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defendant is adopted by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w:t>
      </w:r>
    </w:p>
    <w:p w:rsidR="00000000" w:rsidDel="00000000" w:rsidP="00000000" w:rsidRDefault="00000000" w:rsidRPr="00000000" w14:paraId="00000039">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A">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1</w:t>
      </w:r>
      <w:r w:rsidDel="00000000" w:rsidR="00000000" w:rsidRPr="00000000">
        <w:rPr>
          <w:rFonts w:ascii="Arial" w:cs="Arial" w:eastAsia="Arial" w:hAnsi="Arial"/>
          <w:b w:val="1"/>
          <w:sz w:val="24"/>
          <w:szCs w:val="24"/>
          <w:vertAlign w:val="superscript"/>
          <w:rtl w:val="0"/>
        </w:rPr>
        <w:t xml:space="preserve">st</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3B">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C">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D">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E">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F">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0">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1">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2">
      <w:pPr>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3">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HONOURABLE PRINCIPAL DISTRICT MUNSIF OF COIMBATORE</w:t>
      </w:r>
    </w:p>
    <w:p w:rsidR="00000000" w:rsidDel="00000000" w:rsidP="00000000" w:rsidRDefault="00000000" w:rsidRPr="00000000" w14:paraId="00000044">
      <w:pPr>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O.S.NO.1225 OF 2022</w:t>
      </w:r>
    </w:p>
    <w:p w:rsidR="00000000" w:rsidDel="00000000" w:rsidP="00000000" w:rsidRDefault="00000000" w:rsidRPr="00000000" w14:paraId="00000045">
      <w:pPr>
        <w:spacing w:after="0" w:lineRule="auto"/>
        <w:ind w:left="5387"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A.R.Gnanasekaran</w:t>
      </w:r>
    </w:p>
    <w:p w:rsidR="00000000" w:rsidDel="00000000" w:rsidP="00000000" w:rsidRDefault="00000000" w:rsidRPr="00000000" w14:paraId="00000046">
      <w:pPr>
        <w:spacing w:after="0" w:lineRule="auto"/>
        <w:ind w:left="5387"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G.Vallikannu</w:t>
        <w:tab/>
        <w:tab/>
        <w:tab/>
        <w:tab/>
        <w:tab/>
        <w:tab/>
        <w:tab/>
        <w:t xml:space="preserve">-</w:t>
        <w:tab/>
        <w:t xml:space="preserve">Plaintiffs</w:t>
      </w:r>
    </w:p>
    <w:p w:rsidR="00000000" w:rsidDel="00000000" w:rsidP="00000000" w:rsidRDefault="00000000" w:rsidRPr="00000000" w14:paraId="00000047">
      <w:pPr>
        <w:spacing w:after="0" w:lineRule="auto"/>
        <w:ind w:left="5387" w:right="-897"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-Vs-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7"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1.Bhuvana Diamond Hill Apartment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7"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Owners Association,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7"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 by its President T.Thangavel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7"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7"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2.Bhuvana Diamond Hill Apartment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7"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Owners Association,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387"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 by its Treasurer G.Balaji </w:t>
        <w:tab/>
        <w:tab/>
        <w:tab/>
        <w:t xml:space="preserve">-</w:t>
        <w:tab/>
        <w:t xml:space="preserve">Defendant Nos.1 and 3</w:t>
      </w:r>
    </w:p>
    <w:p w:rsidR="00000000" w:rsidDel="00000000" w:rsidP="00000000" w:rsidRDefault="00000000" w:rsidRPr="00000000" w14:paraId="0000004F">
      <w:pPr>
        <w:spacing w:after="0" w:lineRule="auto"/>
        <w:ind w:left="5387"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Rule="auto"/>
        <w:ind w:left="5387"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NO.3 ADOPTED BY DEFENDANT NO.1</w:t>
      </w:r>
    </w:p>
    <w:p w:rsidR="00000000" w:rsidDel="00000000" w:rsidP="00000000" w:rsidRDefault="00000000" w:rsidRPr="00000000" w14:paraId="0000005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ind w:right="-897"/>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3">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54">
      <w:pPr>
        <w:ind w:left="4383" w:right="-897"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5">
      <w:pPr>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6">
      <w:pPr>
        <w:ind w:left="4383" w:right="-897"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7">
      <w:pPr>
        <w:ind w:left="4383" w:right="-897"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8">
      <w:pPr>
        <w:ind w:left="4383" w:right="-897" w:firstLine="72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         </w:t>
      </w:r>
    </w:p>
    <w:p w:rsidR="00000000" w:rsidDel="00000000" w:rsidP="00000000" w:rsidRDefault="00000000" w:rsidRPr="00000000" w14:paraId="00000059">
      <w:pPr>
        <w:spacing w:after="0" w:lineRule="auto"/>
        <w:ind w:left="5103" w:right="-897" w:firstLine="0"/>
        <w:rPr>
          <w:rFonts w:ascii="Arial" w:cs="Arial" w:eastAsia="Arial" w:hAnsi="Arial"/>
          <w:sz w:val="24"/>
          <w:szCs w:val="24"/>
        </w:rPr>
      </w:pPr>
      <w:r w:rsidDel="00000000" w:rsidR="00000000" w:rsidRPr="00000000">
        <w:rPr>
          <w:rtl w:val="0"/>
        </w:rPr>
      </w:r>
    </w:p>
    <w:sectPr>
      <w:pgSz w:h="16838" w:w="11906" w:orient="portrait"/>
      <w:pgMar w:bottom="1134" w:top="170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7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