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bookmarkStart w:colFirst="0" w:colLast="0" w:name="_gnxiu6bqea9f" w:id="0"/>
      <w:bookmarkEnd w:id="0"/>
      <w:r w:rsidDel="00000000" w:rsidR="00000000" w:rsidRPr="00000000">
        <w:rPr>
          <w:rFonts w:ascii="Arial" w:cs="Arial" w:eastAsia="Arial" w:hAnsi="Arial"/>
          <w:b w:val="1"/>
          <w:sz w:val="24"/>
          <w:szCs w:val="24"/>
          <w:u w:val="single"/>
          <w:rtl w:val="0"/>
        </w:rPr>
        <w:t xml:space="preserve">IN THE COURT OF THE HONOURABLE PRINCIPAL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O.S.NO.1183 OF 2022</w:t>
      </w:r>
    </w:p>
    <w:p w:rsidR="00000000" w:rsidDel="00000000" w:rsidP="00000000" w:rsidRDefault="00000000" w:rsidRPr="00000000" w14:paraId="000000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A.R.Gnanasekaran</w:t>
      </w:r>
    </w:p>
    <w:p w:rsidR="00000000" w:rsidDel="00000000" w:rsidP="00000000" w:rsidRDefault="00000000" w:rsidRPr="00000000" w14:paraId="000000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G.Vallikannu</w:t>
        <w:tab/>
        <w:tab/>
        <w:tab/>
        <w:tab/>
        <w:tab/>
        <w:t xml:space="preserve">-</w:t>
        <w:tab/>
        <w:t xml:space="preserve">Plaintiffs</w:t>
      </w:r>
    </w:p>
    <w:p w:rsidR="00000000" w:rsidDel="00000000" w:rsidP="00000000" w:rsidRDefault="00000000" w:rsidRPr="00000000" w14:paraId="0000000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 xml:space="preserve">-Vs-</w:t>
      </w:r>
    </w:p>
    <w:p w:rsidR="00000000" w:rsidDel="00000000" w:rsidP="00000000" w:rsidRDefault="00000000" w:rsidRPr="00000000" w14:paraId="0000000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1.P.Soundarraj @ Soundarrajan</w:t>
      </w:r>
    </w:p>
    <w:p w:rsidR="00000000" w:rsidDel="00000000" w:rsidP="00000000" w:rsidRDefault="00000000" w:rsidRPr="00000000" w14:paraId="000000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2.S.Pandiammal</w:t>
      </w:r>
    </w:p>
    <w:p w:rsidR="00000000" w:rsidDel="00000000" w:rsidP="00000000" w:rsidRDefault="00000000" w:rsidRPr="00000000" w14:paraId="000000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3.R.Chandran @ Jayachandra </w:t>
      </w:r>
    </w:p>
    <w:p w:rsidR="00000000" w:rsidDel="00000000" w:rsidP="00000000" w:rsidRDefault="00000000" w:rsidRPr="00000000" w14:paraId="0000000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Jayachandran</w:t>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R.Harrish @ Justin Harish</w:t>
      </w:r>
    </w:p>
    <w:p w:rsidR="00000000" w:rsidDel="00000000" w:rsidP="00000000" w:rsidRDefault="00000000" w:rsidRPr="00000000" w14:paraId="0000000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G.Balaji</w:t>
        <w:tab/>
        <w:tab/>
        <w:tab/>
        <w:tab/>
        <w:tab/>
        <w:tab/>
        <w:t xml:space="preserve">-</w:t>
        <w:tab/>
        <w:t xml:space="preserve">Defendant Nos. 3 to 5</w:t>
      </w:r>
    </w:p>
    <w:p w:rsidR="00000000" w:rsidDel="00000000" w:rsidP="00000000" w:rsidRDefault="00000000" w:rsidRPr="00000000" w14:paraId="0000000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NO.5 ADOPTED BY DEFENDANT NOS.3 AND 4</w:t>
      </w:r>
    </w:p>
    <w:p w:rsidR="00000000" w:rsidDel="00000000" w:rsidP="00000000" w:rsidRDefault="00000000" w:rsidRPr="00000000" w14:paraId="0000001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 of the plaint that the plaintiffs purchased suit property viz., Item Nos. 1 and 2 being undivided share of land from the land owners namely Soundararajan, Pandiyammal, Chandran @ Jayachandra @ Jayachandran, Harish @ Justin Harish and Balaji i.e., defendants 1 to 5 herein through their Power Agent namely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herein as per two Sale Deeds dated 09.05.2016, registered as Doc.Nos.3334/2016 and 3336/2016 at SRO, Ganapathy are all stoutly and categorically denied as false, since there is no title passed on to plaintiffs through those alleged Title Deeds for the reasons set out in the written statement herein.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2 of the plaint that the plaintiffs being partners of M/s.Bhuvana Promoters entered into a Joint Development Agreement on 31.08.2012 with us for the purpose of constructing multi-storied apartment on 62:38 ratio and also a Power of Attorney dated 14.09.2012 was executed by us in favour of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for getting approved plan are admitted as true. Otherwise, to say, the land owners namely ourselves conveyed 62% of UDS to developer and in consideration of the same, the developer agreed to put up superstructure over the remaining 38% of UDS towards our share (owner’s share).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of the plaint that the plaintiffs handed over 38% of super built-up area towards owner’s share and subsequently on 09.05.2016,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as power agent of land owner sold undivided share of land i.e. Item Nos.1 and 2 of suit property to plaintiff nos.1 and 2 in personal capacity and also two Construction Agreements were entered between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and M/s.Bhuvana Promoters as per Doc.Nos.3333/2016 and 3335/2016 at SRO, Ganapathy to construct two Penthouses in suit properties with covered car park together with all rights appended to it and those Sale Deeds were acted upon and constructions are completed and thereby the plaintiffs are in peaceful possession and enjoyment of those properties are all stoutly and categorically denied as false for the reasons that as against law the plaintiffs being partners of M/s.Bhuvana Promoters as well as in personal capacity created those documents which are non-est in eye of law and the plaintiffs are also not in possession of suit properties.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4 to 7 of the plaint that the plaintiffs have availed loan from ICICI Bank and the revenue records including all amenities, assessment records stood in their name and the entire apartment consists of 132 flats along with two Penthouses and in which, the plaintiffs in the capacity of promoters sold their share to plaintiffs and the promoters are maintaining the apartment and  now the association is looking after the entire maintenance affairs of the apartments and there were no issues regarding the maintenance of apartment for a period of 6 years prior to maintenance taken over by association and the promoters spent 60% of their own money for maintenance of apartment and the developers are retaining original documents since, we have to pay outstanding to them and on demand of those outstanding, we cancelled the General Power of Attorney and thereafter on 04.11.2022 we have disturbed plaintiff’s possession of suit property and thereby they approached Saravanampatti police in this regard who in turn advised the plaintiffs to approach Civil Court etc., and thereby the plaintiffs have become constrained to file the present suit are all stoutly and categorically denied as false.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this defendant submits that the present suit is not maintainable in eye of law and on facts of the case. This defendant denies the entire averments set out in plaint as false and untenable except those that are specially admitted herein. Moreso, the above suit is not maintainable for want of cause of action and thereby barred under law. Besides, the plaintiff has not approached this Hon’ble Court with clean hands and the present suit is an abuse of process of law and thereby liable to be dismissed in liminie. This defendant submits that the plaintiffs in the capacity of individual persons and also in the capacity of Managing Partners of M/s.Bhuvana Promoters played a fraud on this defendant and others as land owners and also on the Government, viz., Local Planning Authority and also by abusing process of law, filed the present suit seeking injunction with false and vexatious contention without any legal right to maintain the same. So also, there is no cause of action for filing the suit and the present suit is filed by suppressing primary facts of the case.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further submits that as per approved building plan, the developers are permitted to construct only 132 flats and nothing more. However, as against approved building plan, the plaintiffs being Managing Partners of M/s.Bhuvana Promoters put up Penthouses in roof area of the apartments and  created construction agreements between themselves as if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at the capacity of Managing Director of M/s Bhuvana Promoters entered into construction agreement with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in her individual capacity as Purchaser and she also entered into another construction agreement with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in his individual capacity as Purchaser and registered the same as Doc.Nos.3333/2016 and 3335/2016 which law does not permit, more particularly under the RERA Act.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defendant submits that unless the plaintiffs in their capacity as promoters were permitted to put up Penthouses in pursuance of the approved building plan and formed it as a part of Joint Venture Agreement already entered into with the land owners, the plaintiffs cannot construct those Penthouses. However, there is no approved plain for constructing Penthouses and as such, the same has been constructed against law by violating building rules and the plaintiffs as Managing Partner of M/s.Bhuvana Promoters put up such illegal Penthouses and in order to legalise it, got the construction agreement registered in their favour without knowledge of anyone including true owners.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also submits that the plaintiff by misusing the Power of Attorney given by them of obtaining building approved plan and to sell 62% of their UDS corresponding to their flats, the plaintiffs in the capacity of Managing Partner of M/s.Bhuvana Promoters cum Power Agent of land owners created those two Sale Deed dated 09.05.2016, registered as Doc.No.3334/2016 and 3336/2016 by allotting UDS of 339 sq.ft of each in their favour which is against law and also as against the consent and knowledge of land owners. Besides, such Sale Deeds pertaining to UDS i.e., Item Nos.1 and 2 of suit property cannot at all be executed as against the Government norms of FSI. Thus, the plaintiffs played fraud in creating such void documents as referred above which are non-est in eye of law and thereby based on such unlawful act, they have no right to approach the court of law seeing equitable relief of injunction at the inconvenience of land owners as well as members of association who purchased the flats. The plaintiffs by using the court as shield for their unlawful act, filed the present suit by abusing process of law. Thus, the plaintiffs have not approached this Hon’ble Court with clean hands. The plaintiff want equitable remedy for an illegal act which law does not permit for want of cause of action.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sum up, the plaintiffs in the capacity of promoters have built two penthouses which are illegal and violation of buildings rules since it is not covered under approved building plan and they also created two Sale Deeds corresponding to it as if UDS were sold to them which are all nothing but illegal act of plaintiffs and as such, they cannot seek any relief of injunction for want of cause of action. Besides, the plaintiffs were never in possession of the suit properties. Besides, the approved building plan as cited by plaintiffs in description of property by itself does not disclose the permission for construction of Penthouses over the roof of apartments which also belongs to the occupant of individual flats who bought 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Furthermore, as per the approved building plan, there are no provision for construction of pent houses and also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should have sold 29,665.34 sq.ft of UDS in Block No.A but sold 29,353.53 sq.ft with a difference of 311.81 sq.ft which she retained herself without any right. Likewise,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should have sold 31,066.73 sq.ft of UDS in Block No.B but sold 30,701.09 sq.ft with a difference of 365.64 sq.ft which she retained without the knowledge of such buyers or land owners which is otherwise a land grabbing. This defendant submits that the purchasers are not aware of such retainment of UDS by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and also about the subsequent creation of Sale Deed and Construction Agreement between the plaintiffs in the capacity of promoters and individuals as aforesaid, which they had created only with the sole intention to put up pent houses illegally by violating building rules and to have valid title for such illegal construction, they created sham and nominal Sale Deed Doc.Nos.3334/2016 and 3336/2016 referred above among themselves which are otherwise null and void and liable to be set-aside.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defendant further submits that under these circumstances, the plaintiffs have not approached this hon’ble court with clean hands, but by suppression of facts filed the present vexation suit by claiming equitable relief for their unlawful act. There is no prima facie case for plaintiffs and the balance of convenience is also in favour of the defendants. The plaintiffs both in individual capacity as well as promoter created void documents as against law and based on such unlawful title deeds approached this hon’ble court with unclean hands seeking equitable relief for which they are not entitled. There is no cause of action to plaintiff to file the above suit since they have no valid title over Item Nos. 1 and 2 as per approved building plan and thus, the suit is devoid of merits and liable to be dismissed. This defendant vehemently oppose that they are liable to pay a sum of Rs.1,43,34,540/- to plaintiff which is otherwise false. This defendant strongly denies their alleged liability as in setout plaint. This defendant also reserves right to file additional written statement in case of necessity.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maybe pleased to dismiss the suit with costs and thus render justice.</w:t>
      </w:r>
    </w:p>
    <w:p w:rsidR="00000000" w:rsidDel="00000000" w:rsidP="00000000" w:rsidRDefault="00000000" w:rsidRPr="00000000" w14:paraId="0000002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5</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3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tl w:val="0"/>
        </w:rPr>
        <w:t xml:space="preserve">This Written Statement filed by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is adopted by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and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w:t>
      </w:r>
    </w:p>
    <w:p w:rsidR="00000000" w:rsidDel="00000000" w:rsidP="00000000" w:rsidRDefault="00000000" w:rsidRPr="00000000" w14:paraId="00000038">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A">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3</w:t>
      </w:r>
      <w:r w:rsidDel="00000000" w:rsidR="00000000" w:rsidRPr="00000000">
        <w:rPr>
          <w:rFonts w:ascii="Arial" w:cs="Arial" w:eastAsia="Arial" w:hAnsi="Arial"/>
          <w:b w:val="1"/>
          <w:sz w:val="24"/>
          <w:szCs w:val="24"/>
          <w:vertAlign w:val="superscript"/>
          <w:rtl w:val="0"/>
        </w:rPr>
        <w:t xml:space="preserve">rd</w:t>
      </w:r>
      <w:r w:rsidDel="00000000" w:rsidR="00000000" w:rsidRPr="00000000">
        <w:rPr>
          <w:rFonts w:ascii="Arial" w:cs="Arial" w:eastAsia="Arial" w:hAnsi="Arial"/>
          <w:b w:val="1"/>
          <w:sz w:val="24"/>
          <w:szCs w:val="24"/>
          <w:rtl w:val="0"/>
        </w:rPr>
        <w:t xml:space="preserve"> and 4</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F">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0">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2">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3">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4">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5">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6">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7">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8">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9">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HONOURABLE PRINCIPAL DISTRICT MUNSIF OF COIMBATORE</w:t>
      </w:r>
    </w:p>
    <w:p w:rsidR="00000000" w:rsidDel="00000000" w:rsidP="00000000" w:rsidRDefault="00000000" w:rsidRPr="00000000" w14:paraId="0000004A">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O.S.NO.1183 OF 2022</w:t>
      </w:r>
    </w:p>
    <w:p w:rsidR="00000000" w:rsidDel="00000000" w:rsidP="00000000" w:rsidRDefault="00000000" w:rsidRPr="00000000" w14:paraId="0000004B">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A.R.Gnanasekaran</w:t>
      </w:r>
    </w:p>
    <w:p w:rsidR="00000000" w:rsidDel="00000000" w:rsidP="00000000" w:rsidRDefault="00000000" w:rsidRPr="00000000" w14:paraId="0000004C">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G.Vallikannu</w:t>
        <w:tab/>
        <w:t xml:space="preserve">-</w:t>
        <w:tab/>
        <w:t xml:space="preserve">Plaintiffs</w:t>
      </w:r>
    </w:p>
    <w:p w:rsidR="00000000" w:rsidDel="00000000" w:rsidP="00000000" w:rsidRDefault="00000000" w:rsidRPr="00000000" w14:paraId="0000004D">
      <w:pPr>
        <w:spacing w:after="0" w:lineRule="auto"/>
        <w:ind w:left="5245"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04E">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ab/>
        <w:tab/>
        <w:t xml:space="preserve">  -Vs-</w:t>
      </w:r>
    </w:p>
    <w:p w:rsidR="00000000" w:rsidDel="00000000" w:rsidP="00000000" w:rsidRDefault="00000000" w:rsidRPr="00000000" w14:paraId="0000004F">
      <w:pPr>
        <w:spacing w:after="0" w:lineRule="auto"/>
        <w:ind w:left="5245" w:firstLine="0"/>
        <w:rPr>
          <w:rFonts w:ascii="Arial" w:cs="Arial" w:eastAsia="Arial" w:hAnsi="Arial"/>
          <w:sz w:val="12"/>
          <w:szCs w:val="12"/>
        </w:rPr>
      </w:pPr>
      <w:r w:rsidDel="00000000" w:rsidR="00000000" w:rsidRPr="00000000">
        <w:rPr>
          <w:rtl w:val="0"/>
        </w:rPr>
      </w:r>
    </w:p>
    <w:p w:rsidR="00000000" w:rsidDel="00000000" w:rsidP="00000000" w:rsidRDefault="00000000" w:rsidRPr="00000000" w14:paraId="00000050">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1.P.Soundarraj @ Soundarrajan</w:t>
      </w:r>
    </w:p>
    <w:p w:rsidR="00000000" w:rsidDel="00000000" w:rsidP="00000000" w:rsidRDefault="00000000" w:rsidRPr="00000000" w14:paraId="00000051">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2.S.Pandiammal</w:t>
      </w:r>
    </w:p>
    <w:p w:rsidR="00000000" w:rsidDel="00000000" w:rsidP="00000000" w:rsidRDefault="00000000" w:rsidRPr="00000000" w14:paraId="00000052">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3.R.Chandran @ Jayachandra </w:t>
      </w:r>
    </w:p>
    <w:p w:rsidR="00000000" w:rsidDel="00000000" w:rsidP="00000000" w:rsidRDefault="00000000" w:rsidRPr="00000000" w14:paraId="00000053">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Jayachandran</w:t>
      </w:r>
    </w:p>
    <w:p w:rsidR="00000000" w:rsidDel="00000000" w:rsidP="00000000" w:rsidRDefault="00000000" w:rsidRPr="00000000" w14:paraId="00000054">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R.Harrish @ Justin Harish</w:t>
      </w:r>
    </w:p>
    <w:p w:rsidR="00000000" w:rsidDel="00000000" w:rsidP="00000000" w:rsidRDefault="00000000" w:rsidRPr="00000000" w14:paraId="00000055">
      <w:pPr>
        <w:spacing w:after="0" w:lineRule="auto"/>
        <w:ind w:left="5245"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G.Balaji</w:t>
        <w:tab/>
        <w:tab/>
        <w:tab/>
        <w:tab/>
        <w:tab/>
        <w:t xml:space="preserve">-</w:t>
        <w:tab/>
        <w:t xml:space="preserve">Defendant Nos. 3 to 5</w:t>
      </w:r>
    </w:p>
    <w:p w:rsidR="00000000" w:rsidDel="00000000" w:rsidP="00000000" w:rsidRDefault="00000000" w:rsidRPr="00000000" w14:paraId="0000005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NO.5 ADOPTED BY DEFENDANT NOS.3 AND 4</w:t>
      </w:r>
    </w:p>
    <w:p w:rsidR="00000000" w:rsidDel="00000000" w:rsidP="00000000" w:rsidRDefault="00000000" w:rsidRPr="00000000" w14:paraId="00000058">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9">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A">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5C">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D">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E">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F">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0">
      <w:pPr>
        <w:ind w:left="4383" w:right="-897" w:firstLine="72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61">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62">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63">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C.JaiyChandhar, B.A., LLB., (Hons)</w:t>
      </w:r>
    </w:p>
    <w:p w:rsidR="00000000" w:rsidDel="00000000" w:rsidP="00000000" w:rsidRDefault="00000000" w:rsidRPr="00000000" w14:paraId="00000064">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65">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66">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67">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68">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6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p>
    <w:sectPr>
      <w:pgSz w:h="16838" w:w="11906" w:orient="portrait"/>
      <w:pgMar w:bottom="1134" w:top="170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