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dataset and extract into torch 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feature extraction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266416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66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prior distribution of the labels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each class we need to calculate the prior distribution , which number of samples per each class  / total number of samples in the dataset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univariate distribution for each 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each class we need to define a univariate normal distribution , for that we need to estimate the mean for each class and standard distribution of pixel values . After getting mean and std we can define torch normal distribution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 answers for question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 b)  priors [0.1000, 0.1000, 0.1000, 0.1000, 0.1000, 0.1000, 0.1000, 0.1000, 0.1000,  0.1000]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Distributions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Normal(loc: 34603.86, scale: 8701.113166259835)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Normal(loc: 14856.785, scale: 4018.071207672236)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Normal(loc: 30153.155, scale: 7368.519008789313)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Normal(loc: 29007.875, scale: 7275.103133799002)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Normal(loc: 24494.485, scale: 6580.103868815217)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Normal(loc: 26235.545, scale: 7347.717952091822)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Normal(loc: 27274.915, scale: 7740.38679956041)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Normal(loc: 23157.6, scale: 6254.645443839379)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Normal(loc: 30372.085, scale: 7424.477760614838)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Normal(loc: 24421.865, scale: 6221.704678971569)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c)</w:t>
        <w:tab/>
        <w:t xml:space="preserve"> The classification accuracy is 0.194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multivariate distribution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Define the mean vector for the 56 dimension feature array and define the covariance of the feature vector . using the mean and covariance define the multivariate normal distribution to model the vectors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Multivariate model accuracy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classification accuracy is 0.832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