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8766" w14:textId="659AA446" w:rsidR="00AD0C63" w:rsidRPr="008521B7" w:rsidRDefault="00AD0C63" w:rsidP="00802D4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521B7">
        <w:rPr>
          <w:rFonts w:cstheme="minorHAnsi"/>
          <w:b/>
          <w:sz w:val="24"/>
          <w:szCs w:val="24"/>
        </w:rPr>
        <w:t>COURSE CODE:</w:t>
      </w:r>
      <w:r w:rsidRPr="008521B7">
        <w:rPr>
          <w:rFonts w:cstheme="minorHAnsi"/>
          <w:b/>
          <w:sz w:val="24"/>
          <w:szCs w:val="24"/>
        </w:rPr>
        <w:tab/>
      </w:r>
      <w:r w:rsidR="00B0429B">
        <w:rPr>
          <w:rFonts w:cstheme="minorHAnsi"/>
          <w:b/>
          <w:sz w:val="24"/>
          <w:szCs w:val="24"/>
        </w:rPr>
        <w:t>QF6</w:t>
      </w:r>
      <w:r w:rsidR="00A706A9">
        <w:rPr>
          <w:rFonts w:cstheme="minorHAnsi"/>
          <w:b/>
          <w:sz w:val="24"/>
          <w:szCs w:val="24"/>
        </w:rPr>
        <w:t>21</w:t>
      </w:r>
    </w:p>
    <w:p w14:paraId="1D8749FF" w14:textId="76EABC16" w:rsidR="00BD250C" w:rsidRPr="008521B7" w:rsidRDefault="00AD0C63" w:rsidP="00802D4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8521B7">
        <w:rPr>
          <w:rFonts w:cstheme="minorHAnsi"/>
          <w:b/>
          <w:sz w:val="24"/>
          <w:szCs w:val="24"/>
        </w:rPr>
        <w:t>COURSE TITLE:</w:t>
      </w:r>
      <w:r w:rsidRPr="008521B7">
        <w:rPr>
          <w:rFonts w:cstheme="minorHAnsi"/>
          <w:b/>
          <w:sz w:val="24"/>
          <w:szCs w:val="24"/>
        </w:rPr>
        <w:tab/>
      </w:r>
      <w:r w:rsidR="001D1807" w:rsidRPr="008521B7">
        <w:rPr>
          <w:rFonts w:cstheme="minorHAnsi"/>
          <w:b/>
          <w:sz w:val="24"/>
          <w:szCs w:val="24"/>
        </w:rPr>
        <w:t>Quantitative Trading Strategies</w:t>
      </w:r>
      <w:r w:rsidR="00BD250C" w:rsidRPr="008521B7">
        <w:rPr>
          <w:rFonts w:cstheme="minorHAnsi"/>
          <w:b/>
          <w:sz w:val="24"/>
          <w:szCs w:val="24"/>
        </w:rPr>
        <w:tab/>
      </w:r>
    </w:p>
    <w:p w14:paraId="6A2E6B5D" w14:textId="77777777" w:rsidR="00802D46" w:rsidRPr="008521B7" w:rsidRDefault="00802D46" w:rsidP="00802D46">
      <w:pPr>
        <w:spacing w:after="0" w:line="240" w:lineRule="auto"/>
        <w:ind w:right="-421"/>
        <w:rPr>
          <w:rFonts w:cstheme="minorHAnsi"/>
          <w:b/>
          <w:sz w:val="24"/>
          <w:szCs w:val="24"/>
        </w:rPr>
      </w:pPr>
    </w:p>
    <w:p w14:paraId="11D9C3AD" w14:textId="642193FC" w:rsidR="00802D46" w:rsidRPr="008521B7" w:rsidRDefault="00802D46" w:rsidP="00802D46">
      <w:pPr>
        <w:spacing w:after="0" w:line="240" w:lineRule="auto"/>
        <w:jc w:val="both"/>
        <w:rPr>
          <w:rFonts w:cstheme="minorHAnsi"/>
          <w:lang w:val="en-GB"/>
        </w:rPr>
      </w:pPr>
      <w:r w:rsidRPr="008521B7">
        <w:rPr>
          <w:rFonts w:cstheme="minorHAnsi"/>
          <w:bCs/>
        </w:rPr>
        <w:t>Instructor</w:t>
      </w:r>
      <w:r w:rsidRPr="008521B7">
        <w:rPr>
          <w:rFonts w:cstheme="minorHAnsi"/>
          <w:bCs/>
        </w:rPr>
        <w:tab/>
        <w:t xml:space="preserve">: </w:t>
      </w:r>
      <w:r w:rsidR="0027239B" w:rsidRPr="008521B7">
        <w:rPr>
          <w:rFonts w:cstheme="minorHAnsi"/>
          <w:lang w:val="en-US"/>
        </w:rPr>
        <w:t>Dr Benjamin Ee</w:t>
      </w:r>
    </w:p>
    <w:p w14:paraId="02AF0D9C" w14:textId="77777777" w:rsidR="00802D46" w:rsidRPr="008521B7" w:rsidRDefault="00802D46" w:rsidP="00802D46">
      <w:pPr>
        <w:spacing w:after="0" w:line="240" w:lineRule="auto"/>
        <w:jc w:val="both"/>
        <w:rPr>
          <w:rFonts w:cstheme="minorHAnsi"/>
          <w:bCs/>
        </w:rPr>
      </w:pPr>
    </w:p>
    <w:p w14:paraId="10A9CA3B" w14:textId="77777777" w:rsidR="00802D46" w:rsidRPr="008521B7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8521B7">
        <w:rPr>
          <w:rFonts w:cstheme="minorHAnsi"/>
          <w:b/>
          <w:caps/>
        </w:rPr>
        <w:t>Pre-requisite/CO-REQUISITE/MUTUALLY EXCLUSIVE cOURSE(S)</w:t>
      </w:r>
    </w:p>
    <w:p w14:paraId="5CBFE185" w14:textId="77777777" w:rsidR="00802D46" w:rsidRPr="008521B7" w:rsidRDefault="00802D46" w:rsidP="00802D46">
      <w:pPr>
        <w:spacing w:after="0" w:line="240" w:lineRule="auto"/>
        <w:jc w:val="both"/>
        <w:rPr>
          <w:rFonts w:cstheme="minorHAnsi"/>
        </w:rPr>
      </w:pPr>
      <w:r w:rsidRPr="008521B7">
        <w:rPr>
          <w:rFonts w:cstheme="minorHAnsi"/>
        </w:rPr>
        <w:t>None</w:t>
      </w:r>
    </w:p>
    <w:p w14:paraId="483BA2FA" w14:textId="77777777" w:rsidR="00802D46" w:rsidRPr="008521B7" w:rsidRDefault="00802D46" w:rsidP="00802D46">
      <w:pPr>
        <w:spacing w:after="0" w:line="240" w:lineRule="auto"/>
        <w:jc w:val="both"/>
        <w:rPr>
          <w:rFonts w:cstheme="minorHAnsi"/>
        </w:rPr>
      </w:pPr>
    </w:p>
    <w:p w14:paraId="32E82DBC" w14:textId="77777777" w:rsidR="00802D46" w:rsidRPr="008521B7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8521B7">
        <w:rPr>
          <w:rFonts w:cstheme="minorHAnsi"/>
          <w:b/>
          <w:caps/>
        </w:rPr>
        <w:t>COURSE AREA</w:t>
      </w:r>
    </w:p>
    <w:p w14:paraId="102F41C4" w14:textId="47685147" w:rsidR="00802D46" w:rsidRPr="008521B7" w:rsidRDefault="00FD2267" w:rsidP="00802D46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521B7">
        <w:rPr>
          <w:rFonts w:cstheme="minorHAnsi"/>
        </w:rPr>
        <w:t>Finance</w:t>
      </w:r>
    </w:p>
    <w:p w14:paraId="7FFAC614" w14:textId="77777777" w:rsidR="00AD5ADA" w:rsidRPr="008521B7" w:rsidRDefault="00AD5ADA" w:rsidP="00AD5ADA">
      <w:pPr>
        <w:spacing w:after="0" w:line="240" w:lineRule="auto"/>
        <w:ind w:left="360"/>
        <w:jc w:val="both"/>
        <w:rPr>
          <w:rFonts w:cstheme="minorHAnsi"/>
        </w:rPr>
      </w:pPr>
    </w:p>
    <w:p w14:paraId="528DF137" w14:textId="77777777" w:rsidR="00802D46" w:rsidRPr="008521B7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8521B7">
        <w:rPr>
          <w:rFonts w:cstheme="minorHAnsi"/>
          <w:b/>
          <w:caps/>
        </w:rPr>
        <w:t>Grading BaSIS</w:t>
      </w:r>
    </w:p>
    <w:p w14:paraId="2A6B9FE0" w14:textId="77777777" w:rsidR="00802D46" w:rsidRPr="008521B7" w:rsidRDefault="00802D46" w:rsidP="00802D46">
      <w:pPr>
        <w:spacing w:after="0" w:line="240" w:lineRule="auto"/>
        <w:jc w:val="both"/>
        <w:rPr>
          <w:rFonts w:cstheme="minorHAnsi"/>
        </w:rPr>
      </w:pPr>
      <w:r w:rsidRPr="008521B7">
        <w:rPr>
          <w:rFonts w:cstheme="minorHAnsi"/>
        </w:rPr>
        <w:t>Graded</w:t>
      </w:r>
    </w:p>
    <w:p w14:paraId="7DE1267E" w14:textId="77777777" w:rsidR="00802D46" w:rsidRPr="008521B7" w:rsidRDefault="00802D46" w:rsidP="00802D46">
      <w:pPr>
        <w:spacing w:after="0" w:line="240" w:lineRule="auto"/>
        <w:jc w:val="both"/>
        <w:rPr>
          <w:rFonts w:cstheme="minorHAnsi"/>
        </w:rPr>
      </w:pPr>
    </w:p>
    <w:p w14:paraId="418EB2F9" w14:textId="77777777" w:rsidR="00802D46" w:rsidRPr="008521B7" w:rsidRDefault="00802D46" w:rsidP="00802D46">
      <w:pPr>
        <w:spacing w:after="0" w:line="240" w:lineRule="auto"/>
        <w:rPr>
          <w:rFonts w:cstheme="minorHAnsi"/>
          <w:b/>
          <w:caps/>
        </w:rPr>
      </w:pPr>
      <w:r w:rsidRPr="008521B7">
        <w:rPr>
          <w:rFonts w:cstheme="minorHAnsi"/>
          <w:b/>
          <w:caps/>
        </w:rPr>
        <w:t>Course UNIT</w:t>
      </w:r>
    </w:p>
    <w:p w14:paraId="1A74D666" w14:textId="77777777" w:rsidR="00802D46" w:rsidRPr="008521B7" w:rsidRDefault="00802D46" w:rsidP="00802D46">
      <w:pPr>
        <w:spacing w:after="0" w:line="240" w:lineRule="auto"/>
        <w:jc w:val="both"/>
        <w:rPr>
          <w:rFonts w:cstheme="minorHAnsi"/>
        </w:rPr>
      </w:pPr>
      <w:r w:rsidRPr="008521B7">
        <w:rPr>
          <w:rFonts w:cstheme="minorHAnsi"/>
        </w:rPr>
        <w:t>1 CU</w:t>
      </w:r>
    </w:p>
    <w:p w14:paraId="0F51B5AA" w14:textId="77777777" w:rsidR="00802D46" w:rsidRDefault="00802D46" w:rsidP="00802D46">
      <w:pPr>
        <w:spacing w:after="0" w:line="240" w:lineRule="auto"/>
        <w:jc w:val="both"/>
        <w:rPr>
          <w:rFonts w:cstheme="minorHAnsi"/>
        </w:rPr>
      </w:pPr>
    </w:p>
    <w:p w14:paraId="1EE1F04C" w14:textId="77777777" w:rsidR="00E7380E" w:rsidRPr="00E7380E" w:rsidRDefault="00E7380E" w:rsidP="00E7380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1"/>
          <w:szCs w:val="21"/>
        </w:rPr>
      </w:pPr>
      <w:r w:rsidRPr="00E7380E">
        <w:rPr>
          <w:rFonts w:ascii="CIDFont+F2" w:hAnsi="CIDFont+F2" w:cs="CIDFont+F2"/>
          <w:b/>
          <w:bCs/>
          <w:sz w:val="21"/>
          <w:szCs w:val="21"/>
        </w:rPr>
        <w:t>FIRST OFFERING TERM</w:t>
      </w:r>
    </w:p>
    <w:p w14:paraId="5CCC5698" w14:textId="77777777" w:rsidR="00E7380E" w:rsidRDefault="00E7380E" w:rsidP="00E7380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1"/>
          <w:szCs w:val="21"/>
        </w:rPr>
      </w:pPr>
      <w:r>
        <w:rPr>
          <w:rFonts w:ascii="CIDFont+F1" w:hAnsi="CIDFont+F1" w:cs="CIDFont+F1"/>
          <w:sz w:val="21"/>
          <w:szCs w:val="21"/>
        </w:rPr>
        <w:t>Academic Year: AY2018</w:t>
      </w:r>
    </w:p>
    <w:p w14:paraId="29688BE5" w14:textId="2622EDE5" w:rsidR="00E7380E" w:rsidRPr="008521B7" w:rsidRDefault="00E7380E" w:rsidP="00E7380E">
      <w:pPr>
        <w:spacing w:after="0" w:line="240" w:lineRule="auto"/>
        <w:jc w:val="both"/>
        <w:rPr>
          <w:rFonts w:cstheme="minorHAnsi"/>
        </w:rPr>
      </w:pPr>
      <w:r>
        <w:rPr>
          <w:rFonts w:ascii="CIDFont+F1" w:hAnsi="CIDFont+F1" w:cs="CIDFont+F1"/>
          <w:sz w:val="21"/>
          <w:szCs w:val="21"/>
        </w:rPr>
        <w:t>Academic Term: Term 4</w:t>
      </w:r>
    </w:p>
    <w:p w14:paraId="7F7A87FD" w14:textId="77777777" w:rsidR="00AD5ADA" w:rsidRPr="008521B7" w:rsidRDefault="00AD5ADA" w:rsidP="00802D46">
      <w:pPr>
        <w:spacing w:after="0" w:line="240" w:lineRule="auto"/>
        <w:jc w:val="both"/>
        <w:rPr>
          <w:rFonts w:cstheme="minorHAnsi"/>
        </w:rPr>
      </w:pPr>
    </w:p>
    <w:p w14:paraId="1ABFF57D" w14:textId="77777777" w:rsidR="00AD5ADA" w:rsidRPr="008521B7" w:rsidRDefault="00AD5ADA" w:rsidP="00AD5AD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  <w:lang w:val="en-GB"/>
        </w:rPr>
      </w:pPr>
      <w:r w:rsidRPr="008521B7">
        <w:rPr>
          <w:rFonts w:asciiTheme="minorHAnsi" w:hAnsiTheme="minorHAnsi" w:cstheme="minorHAnsi"/>
          <w:color w:val="auto"/>
          <w:sz w:val="22"/>
          <w:szCs w:val="22"/>
          <w:lang w:val="en-GB"/>
        </w:rPr>
        <w:t xml:space="preserve">COURSE DESCRIPTION </w:t>
      </w:r>
    </w:p>
    <w:p w14:paraId="30AE7C49" w14:textId="4FB43AF4" w:rsidR="00636EB7" w:rsidRDefault="00117C00" w:rsidP="00AD5ADA">
      <w:pPr>
        <w:spacing w:after="0" w:line="240" w:lineRule="auto"/>
        <w:jc w:val="both"/>
        <w:rPr>
          <w:rFonts w:cstheme="minorHAnsi"/>
        </w:rPr>
      </w:pPr>
      <w:r w:rsidRPr="008521B7">
        <w:rPr>
          <w:rFonts w:cstheme="minorHAnsi"/>
        </w:rPr>
        <w:t xml:space="preserve">This course will </w:t>
      </w:r>
      <w:r w:rsidR="00E12F4F">
        <w:rPr>
          <w:rFonts w:cstheme="minorHAnsi"/>
        </w:rPr>
        <w:t>discuss systematic</w:t>
      </w:r>
      <w:r w:rsidR="00697F6E" w:rsidRPr="008521B7">
        <w:rPr>
          <w:rFonts w:cstheme="minorHAnsi"/>
        </w:rPr>
        <w:t xml:space="preserve"> </w:t>
      </w:r>
      <w:r w:rsidR="00A91336">
        <w:rPr>
          <w:rFonts w:cstheme="minorHAnsi"/>
        </w:rPr>
        <w:t>investment</w:t>
      </w:r>
      <w:r w:rsidR="00B471E1" w:rsidRPr="008521B7">
        <w:rPr>
          <w:rFonts w:cstheme="minorHAnsi"/>
        </w:rPr>
        <w:t xml:space="preserve"> strategies</w:t>
      </w:r>
      <w:r w:rsidR="00E12F4F">
        <w:rPr>
          <w:rFonts w:cstheme="minorHAnsi"/>
        </w:rPr>
        <w:t>.</w:t>
      </w:r>
      <w:r w:rsidR="00B471E1" w:rsidRPr="008521B7">
        <w:rPr>
          <w:rFonts w:cstheme="minorHAnsi"/>
        </w:rPr>
        <w:t xml:space="preserve"> </w:t>
      </w:r>
      <w:r w:rsidR="00E12F4F">
        <w:rPr>
          <w:rFonts w:cstheme="minorHAnsi"/>
        </w:rPr>
        <w:t xml:space="preserve"> Strategies </w:t>
      </w:r>
      <w:r w:rsidR="002917A4">
        <w:rPr>
          <w:rFonts w:cstheme="minorHAnsi"/>
        </w:rPr>
        <w:t>are</w:t>
      </w:r>
      <w:r w:rsidR="00E12F4F">
        <w:rPr>
          <w:rFonts w:cstheme="minorHAnsi"/>
        </w:rPr>
        <w:t xml:space="preserve"> </w:t>
      </w:r>
      <w:r w:rsidR="00A31AEC">
        <w:rPr>
          <w:rFonts w:cstheme="minorHAnsi"/>
        </w:rPr>
        <w:t xml:space="preserve">organized into 2 categories:  equities and global macro.  The former </w:t>
      </w:r>
      <w:r w:rsidR="00E12F4F">
        <w:rPr>
          <w:rFonts w:cstheme="minorHAnsi"/>
        </w:rPr>
        <w:t xml:space="preserve">will include a survey of </w:t>
      </w:r>
      <w:r w:rsidR="002917A4">
        <w:rPr>
          <w:rFonts w:cstheme="minorHAnsi"/>
        </w:rPr>
        <w:t xml:space="preserve">strategies based on </w:t>
      </w:r>
      <w:r w:rsidR="00E12F4F">
        <w:rPr>
          <w:rFonts w:cstheme="minorHAnsi"/>
        </w:rPr>
        <w:t xml:space="preserve">corporate information (fundamentals, sentiment, price volume, </w:t>
      </w:r>
      <w:r w:rsidR="002917A4">
        <w:rPr>
          <w:rFonts w:cstheme="minorHAnsi"/>
        </w:rPr>
        <w:t>supply chain</w:t>
      </w:r>
      <w:r w:rsidR="00E12F4F">
        <w:rPr>
          <w:rFonts w:cstheme="minorHAnsi"/>
        </w:rPr>
        <w:t>)</w:t>
      </w:r>
      <w:r w:rsidR="007C085C">
        <w:rPr>
          <w:rFonts w:cstheme="minorHAnsi"/>
        </w:rPr>
        <w:t xml:space="preserve"> as well as factors from </w:t>
      </w:r>
      <w:r w:rsidR="000B1511">
        <w:rPr>
          <w:rFonts w:cstheme="minorHAnsi"/>
        </w:rPr>
        <w:t>behavioural</w:t>
      </w:r>
      <w:r w:rsidR="007C085C">
        <w:rPr>
          <w:rFonts w:cstheme="minorHAnsi"/>
        </w:rPr>
        <w:t xml:space="preserve"> finance</w:t>
      </w:r>
      <w:r w:rsidR="00E12F4F">
        <w:rPr>
          <w:rFonts w:cstheme="minorHAnsi"/>
        </w:rPr>
        <w:t xml:space="preserve"> and their relevance to systematic investing</w:t>
      </w:r>
      <w:r w:rsidR="00D52DFA">
        <w:rPr>
          <w:rFonts w:cstheme="minorHAnsi"/>
        </w:rPr>
        <w:t>.  T</w:t>
      </w:r>
      <w:r w:rsidR="00A31AEC">
        <w:rPr>
          <w:rFonts w:cstheme="minorHAnsi"/>
        </w:rPr>
        <w:t>he latter will include</w:t>
      </w:r>
      <w:r w:rsidR="00D52DFA">
        <w:rPr>
          <w:rFonts w:cstheme="minorHAnsi"/>
        </w:rPr>
        <w:t xml:space="preserve"> asset allocation,</w:t>
      </w:r>
      <w:r w:rsidR="00A31AEC">
        <w:rPr>
          <w:rFonts w:cstheme="minorHAnsi"/>
        </w:rPr>
        <w:t xml:space="preserve"> directional strategies</w:t>
      </w:r>
      <w:r w:rsidR="00D52DFA">
        <w:rPr>
          <w:rFonts w:cstheme="minorHAnsi"/>
        </w:rPr>
        <w:t xml:space="preserve"> and </w:t>
      </w:r>
      <w:r w:rsidR="00A31AEC">
        <w:rPr>
          <w:rFonts w:cstheme="minorHAnsi"/>
        </w:rPr>
        <w:t>volatility</w:t>
      </w:r>
      <w:r w:rsidR="003F1DB1" w:rsidRPr="008521B7">
        <w:rPr>
          <w:rFonts w:cstheme="minorHAnsi"/>
        </w:rPr>
        <w:t xml:space="preserve">.  </w:t>
      </w:r>
    </w:p>
    <w:p w14:paraId="2DC9E7A8" w14:textId="35C8E06A" w:rsidR="00636EB7" w:rsidRDefault="00636EB7" w:rsidP="00AD5ADA">
      <w:pPr>
        <w:spacing w:after="0" w:line="240" w:lineRule="auto"/>
        <w:jc w:val="both"/>
        <w:rPr>
          <w:rFonts w:cstheme="minorHAnsi"/>
        </w:rPr>
      </w:pPr>
    </w:p>
    <w:p w14:paraId="37FA0007" w14:textId="2437549B" w:rsidR="007C085C" w:rsidRDefault="00D52DFA" w:rsidP="00AD5A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</w:t>
      </w:r>
      <w:r w:rsidR="00C21909">
        <w:rPr>
          <w:rFonts w:cstheme="minorHAnsi"/>
        </w:rPr>
        <w:t>e will discuss</w:t>
      </w:r>
      <w:r w:rsidR="00636EB7">
        <w:rPr>
          <w:rFonts w:cstheme="minorHAnsi"/>
        </w:rPr>
        <w:t xml:space="preserve"> the </w:t>
      </w:r>
      <w:r w:rsidR="00C21909">
        <w:rPr>
          <w:rFonts w:cstheme="minorHAnsi"/>
        </w:rPr>
        <w:t>role</w:t>
      </w:r>
      <w:r w:rsidR="00636EB7">
        <w:rPr>
          <w:rFonts w:cstheme="minorHAnsi"/>
        </w:rPr>
        <w:t xml:space="preserve"> of central banks (e.g. the Federal Reserve)</w:t>
      </w:r>
      <w:r w:rsidR="00C21909">
        <w:rPr>
          <w:rFonts w:cstheme="minorHAnsi"/>
        </w:rPr>
        <w:t xml:space="preserve">, fiscal policy, as well as the banking system during financial </w:t>
      </w:r>
      <w:r w:rsidR="000B1511">
        <w:rPr>
          <w:rFonts w:cstheme="minorHAnsi"/>
        </w:rPr>
        <w:t>/</w:t>
      </w:r>
      <w:r w:rsidR="00C21909">
        <w:rPr>
          <w:rFonts w:cstheme="minorHAnsi"/>
        </w:rPr>
        <w:t xml:space="preserve"> economic crises</w:t>
      </w:r>
      <w:r w:rsidR="000B1511">
        <w:rPr>
          <w:rFonts w:cstheme="minorHAnsi"/>
        </w:rPr>
        <w:t xml:space="preserve">.  The dual mandate (e.g. formal or de facto) of ensuring full employment whilst </w:t>
      </w:r>
      <w:r w:rsidR="00C21909">
        <w:rPr>
          <w:rFonts w:cstheme="minorHAnsi"/>
        </w:rPr>
        <w:t>moderating inflation</w:t>
      </w:r>
      <w:r w:rsidR="000B1511">
        <w:rPr>
          <w:rFonts w:cstheme="minorHAnsi"/>
        </w:rPr>
        <w:t xml:space="preserve"> will also be examined</w:t>
      </w:r>
      <w:r w:rsidR="00C21909">
        <w:rPr>
          <w:rFonts w:cstheme="minorHAnsi"/>
        </w:rPr>
        <w:t xml:space="preserve">.  </w:t>
      </w:r>
    </w:p>
    <w:p w14:paraId="79B58616" w14:textId="77777777" w:rsidR="005D4245" w:rsidRPr="007C085C" w:rsidRDefault="005D4245" w:rsidP="00AD5ADA">
      <w:pPr>
        <w:spacing w:after="0" w:line="240" w:lineRule="auto"/>
        <w:jc w:val="both"/>
        <w:rPr>
          <w:rFonts w:cstheme="minorHAnsi"/>
        </w:rPr>
      </w:pPr>
    </w:p>
    <w:p w14:paraId="70294F0D" w14:textId="77777777" w:rsidR="00EC78FE" w:rsidRDefault="00184ED3" w:rsidP="00AD5ADA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course will discuss</w:t>
      </w:r>
      <w:r w:rsidR="003F1DB1" w:rsidRPr="008521B7">
        <w:rPr>
          <w:rFonts w:cstheme="minorHAnsi"/>
        </w:rPr>
        <w:t xml:space="preserve"> practical considerations in </w:t>
      </w:r>
      <w:r w:rsidR="00A04B7A" w:rsidRPr="008521B7">
        <w:rPr>
          <w:rFonts w:cstheme="minorHAnsi"/>
        </w:rPr>
        <w:t>live trading</w:t>
      </w:r>
      <w:r w:rsidR="003F1DB1" w:rsidRPr="008521B7">
        <w:rPr>
          <w:rFonts w:cstheme="minorHAnsi"/>
        </w:rPr>
        <w:t xml:space="preserve">, </w:t>
      </w:r>
      <w:r w:rsidR="00117C00" w:rsidRPr="008521B7">
        <w:rPr>
          <w:rFonts w:cstheme="minorHAnsi"/>
        </w:rPr>
        <w:t xml:space="preserve">such as </w:t>
      </w:r>
      <w:r w:rsidR="00C07B9F" w:rsidRPr="008521B7">
        <w:rPr>
          <w:rFonts w:cstheme="minorHAnsi"/>
        </w:rPr>
        <w:t>realistic trading costs assumptions</w:t>
      </w:r>
      <w:r w:rsidR="003B59A5" w:rsidRPr="008521B7">
        <w:rPr>
          <w:rFonts w:cstheme="minorHAnsi"/>
        </w:rPr>
        <w:t>, market impact, execution slippage,</w:t>
      </w:r>
      <w:r w:rsidR="00C07B9F" w:rsidRPr="008521B7">
        <w:rPr>
          <w:rFonts w:cstheme="minorHAnsi"/>
        </w:rPr>
        <w:t xml:space="preserve"> risk management</w:t>
      </w:r>
      <w:r w:rsidR="001B76D2">
        <w:rPr>
          <w:rFonts w:cstheme="minorHAnsi"/>
        </w:rPr>
        <w:t xml:space="preserve">, </w:t>
      </w:r>
      <w:r w:rsidR="00791C87">
        <w:rPr>
          <w:rFonts w:cstheme="minorHAnsi"/>
        </w:rPr>
        <w:t xml:space="preserve">pros-cons of </w:t>
      </w:r>
      <w:r w:rsidR="003E3BD0">
        <w:rPr>
          <w:rFonts w:cstheme="minorHAnsi"/>
        </w:rPr>
        <w:t>various</w:t>
      </w:r>
      <w:r w:rsidR="00791C87">
        <w:rPr>
          <w:rFonts w:cstheme="minorHAnsi"/>
        </w:rPr>
        <w:t xml:space="preserve"> </w:t>
      </w:r>
      <w:r w:rsidR="001B76D2">
        <w:rPr>
          <w:rFonts w:cstheme="minorHAnsi"/>
        </w:rPr>
        <w:t>program order types</w:t>
      </w:r>
      <w:r w:rsidR="003E3BD0">
        <w:rPr>
          <w:rFonts w:cstheme="minorHAnsi"/>
        </w:rPr>
        <w:t xml:space="preserve"> / params</w:t>
      </w:r>
      <w:r w:rsidR="008A0183">
        <w:rPr>
          <w:rFonts w:cstheme="minorHAnsi"/>
        </w:rPr>
        <w:t xml:space="preserve"> and capital allocation</w:t>
      </w:r>
      <w:r w:rsidR="003F6423" w:rsidRPr="008521B7">
        <w:rPr>
          <w:rFonts w:cstheme="minorHAnsi"/>
        </w:rPr>
        <w:t xml:space="preserve">.  </w:t>
      </w:r>
    </w:p>
    <w:p w14:paraId="27C24D0E" w14:textId="77777777" w:rsidR="00EC78FE" w:rsidRDefault="00EC78FE" w:rsidP="00AD5ADA">
      <w:pPr>
        <w:spacing w:after="0" w:line="240" w:lineRule="auto"/>
        <w:jc w:val="both"/>
        <w:rPr>
          <w:rFonts w:cstheme="minorHAnsi"/>
        </w:rPr>
      </w:pPr>
    </w:p>
    <w:p w14:paraId="51398A8F" w14:textId="16FBF03E" w:rsidR="00AD5ADA" w:rsidRPr="008521B7" w:rsidRDefault="00EC78FE" w:rsidP="00AD5ADA">
      <w:pPr>
        <w:spacing w:after="0" w:line="240" w:lineRule="auto"/>
        <w:jc w:val="both"/>
        <w:rPr>
          <w:rFonts w:cstheme="minorHAnsi"/>
        </w:rPr>
      </w:pPr>
      <w:r w:rsidRPr="00EC78FE">
        <w:rPr>
          <w:rFonts w:cstheme="minorHAnsi"/>
        </w:rPr>
        <w:t xml:space="preserve">Students will participate in a class project where selected trading strategies will be implemented in a widely used industry relevant language (e.g. Python, Java or C++). </w:t>
      </w:r>
      <w:r>
        <w:rPr>
          <w:rFonts w:cstheme="minorHAnsi"/>
        </w:rPr>
        <w:t xml:space="preserve"> </w:t>
      </w:r>
      <w:r w:rsidRPr="00EC78FE">
        <w:rPr>
          <w:rFonts w:cstheme="minorHAnsi"/>
        </w:rPr>
        <w:t xml:space="preserve">In class discussions, we may also leverage </w:t>
      </w:r>
      <w:proofErr w:type="gramStart"/>
      <w:r w:rsidRPr="00EC78FE">
        <w:rPr>
          <w:rFonts w:cstheme="minorHAnsi"/>
        </w:rPr>
        <w:t xml:space="preserve">open </w:t>
      </w:r>
      <w:r w:rsidR="0099028B">
        <w:rPr>
          <w:rFonts w:cstheme="minorHAnsi"/>
        </w:rPr>
        <w:t>source</w:t>
      </w:r>
      <w:proofErr w:type="gramEnd"/>
      <w:r w:rsidR="0099028B">
        <w:rPr>
          <w:rFonts w:cstheme="minorHAnsi"/>
        </w:rPr>
        <w:t xml:space="preserve"> code to illustration</w:t>
      </w:r>
      <w:r w:rsidRPr="00EC78FE">
        <w:rPr>
          <w:rFonts w:cstheme="minorHAnsi"/>
        </w:rPr>
        <w:t xml:space="preserve"> </w:t>
      </w:r>
      <w:r w:rsidR="0099028B">
        <w:rPr>
          <w:rFonts w:cstheme="minorHAnsi"/>
        </w:rPr>
        <w:t>portfolio</w:t>
      </w:r>
      <w:r w:rsidRPr="00EC78FE">
        <w:rPr>
          <w:rFonts w:cstheme="minorHAnsi"/>
        </w:rPr>
        <w:t xml:space="preserve"> strategies (basic implementations will be provided by instructor). Lastly, we will devote some time to an overview of the global and Singapore quantitative trading ecosystem and discuss </w:t>
      </w:r>
      <w:r w:rsidR="00FF627B">
        <w:rPr>
          <w:rFonts w:cstheme="minorHAnsi"/>
        </w:rPr>
        <w:t xml:space="preserve">ongoing </w:t>
      </w:r>
      <w:r w:rsidR="00BD6E06">
        <w:rPr>
          <w:rFonts w:cstheme="minorHAnsi"/>
        </w:rPr>
        <w:t>experiences with setting up</w:t>
      </w:r>
      <w:r w:rsidR="00C43ABA">
        <w:rPr>
          <w:rFonts w:cstheme="minorHAnsi"/>
        </w:rPr>
        <w:t xml:space="preserve"> and running</w:t>
      </w:r>
      <w:r w:rsidR="00BD6E06">
        <w:rPr>
          <w:rFonts w:cstheme="minorHAnsi"/>
        </w:rPr>
        <w:t xml:space="preserve"> a </w:t>
      </w:r>
      <w:r w:rsidR="00C43ABA">
        <w:rPr>
          <w:rFonts w:cstheme="minorHAnsi"/>
        </w:rPr>
        <w:t xml:space="preserve">regulated </w:t>
      </w:r>
      <w:r w:rsidR="00BD6E06">
        <w:rPr>
          <w:rFonts w:cstheme="minorHAnsi"/>
        </w:rPr>
        <w:t>fund management company.</w:t>
      </w:r>
    </w:p>
    <w:p w14:paraId="27857B19" w14:textId="31FAC904" w:rsidR="00AD5ADA" w:rsidRDefault="00AD5ADA" w:rsidP="00AD5ADA">
      <w:pPr>
        <w:spacing w:after="0" w:line="240" w:lineRule="auto"/>
        <w:jc w:val="both"/>
        <w:rPr>
          <w:rFonts w:ascii="Gill Sans MT" w:hAnsi="Gill Sans MT" w:cs="Arial"/>
          <w:b/>
          <w:lang w:val="en-GB"/>
        </w:rPr>
      </w:pPr>
    </w:p>
    <w:p w14:paraId="7CFE5E5D" w14:textId="64E1B377" w:rsidR="00B15C18" w:rsidRPr="00B15C18" w:rsidRDefault="00B15C18" w:rsidP="00AD5ADA">
      <w:pPr>
        <w:spacing w:after="0" w:line="240" w:lineRule="auto"/>
        <w:jc w:val="both"/>
        <w:rPr>
          <w:rFonts w:ascii="Gill Sans MT" w:hAnsi="Gill Sans MT" w:cs="Arial"/>
          <w:bCs/>
          <w:lang w:val="en-GB"/>
        </w:rPr>
      </w:pPr>
      <w:r>
        <w:rPr>
          <w:rFonts w:ascii="Gill Sans MT" w:hAnsi="Gill Sans MT" w:cs="Arial"/>
          <w:bCs/>
          <w:lang w:val="en-GB"/>
        </w:rPr>
        <w:t xml:space="preserve">During this course, students will be provided with </w:t>
      </w:r>
      <w:r w:rsidR="00450540">
        <w:rPr>
          <w:rFonts w:ascii="Gill Sans MT" w:hAnsi="Gill Sans MT" w:cs="Arial"/>
          <w:bCs/>
          <w:lang w:val="en-GB"/>
        </w:rPr>
        <w:t>reference</w:t>
      </w:r>
      <w:r>
        <w:rPr>
          <w:rFonts w:ascii="Gill Sans MT" w:hAnsi="Gill Sans MT" w:cs="Arial"/>
          <w:bCs/>
          <w:lang w:val="en-GB"/>
        </w:rPr>
        <w:t xml:space="preserve"> implementations of selected</w:t>
      </w:r>
      <w:r w:rsidR="00D52DFA">
        <w:rPr>
          <w:rFonts w:ascii="Gill Sans MT" w:hAnsi="Gill Sans MT" w:cs="Arial"/>
          <w:bCs/>
          <w:lang w:val="en-GB"/>
        </w:rPr>
        <w:t xml:space="preserve"> quantitative</w:t>
      </w:r>
      <w:r>
        <w:rPr>
          <w:rFonts w:ascii="Gill Sans MT" w:hAnsi="Gill Sans MT" w:cs="Arial"/>
          <w:bCs/>
          <w:lang w:val="en-GB"/>
        </w:rPr>
        <w:t xml:space="preserve"> investment strategies in a commercially relevant language such as Python.  Provided code is intended </w:t>
      </w:r>
      <w:r>
        <w:rPr>
          <w:rFonts w:ascii="Gill Sans MT" w:hAnsi="Gill Sans MT" w:cs="Arial"/>
          <w:bCs/>
          <w:lang w:val="en-GB"/>
        </w:rPr>
        <w:lastRenderedPageBreak/>
        <w:t xml:space="preserve">to work “out of the box”.  Students may find it useful to use this </w:t>
      </w:r>
      <w:r w:rsidR="00450540">
        <w:rPr>
          <w:rFonts w:ascii="Gill Sans MT" w:hAnsi="Gill Sans MT" w:cs="Arial"/>
          <w:bCs/>
          <w:lang w:val="en-GB"/>
        </w:rPr>
        <w:t xml:space="preserve">framework </w:t>
      </w:r>
      <w:r>
        <w:rPr>
          <w:rFonts w:ascii="Gill Sans MT" w:hAnsi="Gill Sans MT" w:cs="Arial"/>
          <w:bCs/>
          <w:lang w:val="en-GB"/>
        </w:rPr>
        <w:t>code</w:t>
      </w:r>
      <w:r w:rsidR="00450540">
        <w:rPr>
          <w:rFonts w:ascii="Gill Sans MT" w:hAnsi="Gill Sans MT" w:cs="Arial"/>
          <w:bCs/>
          <w:lang w:val="en-GB"/>
        </w:rPr>
        <w:t xml:space="preserve"> base</w:t>
      </w:r>
      <w:r>
        <w:rPr>
          <w:rFonts w:ascii="Gill Sans MT" w:hAnsi="Gill Sans MT" w:cs="Arial"/>
          <w:bCs/>
          <w:lang w:val="en-GB"/>
        </w:rPr>
        <w:t xml:space="preserve"> as a starting point for further experimentation.</w:t>
      </w:r>
    </w:p>
    <w:p w14:paraId="043A4098" w14:textId="77777777" w:rsidR="00B15C18" w:rsidRPr="008521B7" w:rsidRDefault="00B15C18" w:rsidP="00AD5ADA">
      <w:pPr>
        <w:spacing w:after="0" w:line="240" w:lineRule="auto"/>
        <w:jc w:val="both"/>
        <w:rPr>
          <w:rFonts w:ascii="Gill Sans MT" w:hAnsi="Gill Sans MT" w:cs="Arial"/>
          <w:b/>
          <w:lang w:val="en-GB"/>
        </w:rPr>
      </w:pPr>
    </w:p>
    <w:p w14:paraId="50B74D37" w14:textId="77777777" w:rsidR="00AD5ADA" w:rsidRPr="008521B7" w:rsidRDefault="00AD5ADA" w:rsidP="00AD5ADA">
      <w:pPr>
        <w:spacing w:after="0" w:line="240" w:lineRule="auto"/>
        <w:jc w:val="both"/>
        <w:rPr>
          <w:rFonts w:cstheme="minorHAnsi"/>
          <w:b/>
          <w:lang w:val="en-GB"/>
        </w:rPr>
      </w:pPr>
      <w:r w:rsidRPr="008521B7">
        <w:rPr>
          <w:rFonts w:cstheme="minorHAnsi"/>
          <w:b/>
          <w:lang w:val="en-GB"/>
        </w:rPr>
        <w:t>LEARNING OBJECTIVES</w:t>
      </w:r>
    </w:p>
    <w:p w14:paraId="231A1B16" w14:textId="77777777" w:rsidR="00AD5ADA" w:rsidRPr="008521B7" w:rsidRDefault="00AD5ADA" w:rsidP="00AD5ADA">
      <w:pPr>
        <w:spacing w:after="0" w:line="240" w:lineRule="auto"/>
        <w:jc w:val="both"/>
        <w:rPr>
          <w:rFonts w:cstheme="minorHAnsi"/>
        </w:rPr>
      </w:pPr>
      <w:r w:rsidRPr="008521B7">
        <w:rPr>
          <w:rFonts w:cstheme="minorHAnsi"/>
        </w:rPr>
        <w:t>On successful completion of the course, students should be able to:</w:t>
      </w:r>
    </w:p>
    <w:p w14:paraId="25A098AD" w14:textId="2B43C3EE" w:rsidR="00F6469F" w:rsidRDefault="00F6469F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Be familiar with the broad landscape of quantitative </w:t>
      </w:r>
      <w:r w:rsidR="00A5191D">
        <w:rPr>
          <w:rFonts w:cstheme="minorHAnsi"/>
          <w:bCs/>
        </w:rPr>
        <w:t>investment</w:t>
      </w:r>
      <w:r>
        <w:rPr>
          <w:rFonts w:cstheme="minorHAnsi"/>
          <w:bCs/>
        </w:rPr>
        <w:t xml:space="preserve"> strategies in both equities and global macro categories,</w:t>
      </w:r>
      <w:r w:rsidR="0019632B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and </w:t>
      </w:r>
      <w:r w:rsidR="0019632B">
        <w:rPr>
          <w:rFonts w:cstheme="minorHAnsi"/>
          <w:bCs/>
        </w:rPr>
        <w:t>appreciate</w:t>
      </w:r>
      <w:r>
        <w:rPr>
          <w:rFonts w:cstheme="minorHAnsi"/>
          <w:bCs/>
        </w:rPr>
        <w:t xml:space="preserve"> the economic intuition behind common / prominent </w:t>
      </w:r>
      <w:proofErr w:type="gramStart"/>
      <w:r>
        <w:rPr>
          <w:rFonts w:cstheme="minorHAnsi"/>
          <w:bCs/>
        </w:rPr>
        <w:t>strategies</w:t>
      </w:r>
      <w:proofErr w:type="gramEnd"/>
      <w:r>
        <w:rPr>
          <w:rFonts w:cstheme="minorHAnsi"/>
          <w:bCs/>
        </w:rPr>
        <w:t xml:space="preserve"> types in each area.</w:t>
      </w:r>
    </w:p>
    <w:p w14:paraId="70D22E48" w14:textId="37B1CF2F" w:rsidR="003E6B4A" w:rsidRDefault="00C07B9F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521B7">
        <w:rPr>
          <w:rFonts w:cstheme="minorHAnsi"/>
          <w:bCs/>
        </w:rPr>
        <w:t xml:space="preserve">Appreciate the </w:t>
      </w:r>
      <w:r w:rsidR="003F6423" w:rsidRPr="008521B7">
        <w:rPr>
          <w:rFonts w:cstheme="minorHAnsi"/>
          <w:bCs/>
        </w:rPr>
        <w:t xml:space="preserve">framework </w:t>
      </w:r>
      <w:r w:rsidRPr="008521B7">
        <w:rPr>
          <w:rFonts w:cstheme="minorHAnsi"/>
          <w:bCs/>
        </w:rPr>
        <w:t xml:space="preserve">behind </w:t>
      </w:r>
      <w:r w:rsidR="003F6423" w:rsidRPr="008521B7">
        <w:rPr>
          <w:rFonts w:cstheme="minorHAnsi"/>
          <w:bCs/>
        </w:rPr>
        <w:t xml:space="preserve">selected </w:t>
      </w:r>
      <w:r w:rsidR="0019632B">
        <w:rPr>
          <w:rFonts w:cstheme="minorHAnsi"/>
          <w:bCs/>
        </w:rPr>
        <w:t>equit</w:t>
      </w:r>
      <w:r w:rsidR="00A5191D">
        <w:rPr>
          <w:rFonts w:cstheme="minorHAnsi"/>
          <w:bCs/>
        </w:rPr>
        <w:t>ies</w:t>
      </w:r>
      <w:r w:rsidR="0019632B">
        <w:rPr>
          <w:rFonts w:cstheme="minorHAnsi"/>
          <w:bCs/>
        </w:rPr>
        <w:t>,</w:t>
      </w:r>
      <w:r w:rsidR="00A5191D">
        <w:rPr>
          <w:rFonts w:cstheme="minorHAnsi"/>
          <w:bCs/>
        </w:rPr>
        <w:t xml:space="preserve"> futures</w:t>
      </w:r>
      <w:r w:rsidR="0019632B">
        <w:rPr>
          <w:rFonts w:cstheme="minorHAnsi"/>
          <w:bCs/>
        </w:rPr>
        <w:t xml:space="preserve"> and volatility strategies </w:t>
      </w:r>
      <w:r w:rsidR="00C01A86">
        <w:rPr>
          <w:rFonts w:cstheme="minorHAnsi"/>
          <w:bCs/>
        </w:rPr>
        <w:t>for which</w:t>
      </w:r>
      <w:r w:rsidR="0019632B">
        <w:rPr>
          <w:rFonts w:cstheme="minorHAnsi"/>
          <w:bCs/>
        </w:rPr>
        <w:t xml:space="preserve"> we will deep dive </w:t>
      </w:r>
    </w:p>
    <w:p w14:paraId="3B6607F4" w14:textId="09955235" w:rsidR="00A5191D" w:rsidRPr="008521B7" w:rsidRDefault="00A5191D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Articulate the impact that central banks, fiscal authorities and money </w:t>
      </w:r>
      <w:proofErr w:type="spellStart"/>
      <w:r>
        <w:rPr>
          <w:rFonts w:cstheme="minorHAnsi"/>
          <w:bCs/>
        </w:rPr>
        <w:t>center</w:t>
      </w:r>
      <w:proofErr w:type="spellEnd"/>
      <w:r>
        <w:rPr>
          <w:rFonts w:cstheme="minorHAnsi"/>
          <w:bCs/>
        </w:rPr>
        <w:t xml:space="preserve"> banks may have on global macro and volatility strategies </w:t>
      </w:r>
    </w:p>
    <w:p w14:paraId="3B8DE83E" w14:textId="681EE993" w:rsidR="00AD5ADA" w:rsidRDefault="00C07B9F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521B7">
        <w:rPr>
          <w:rFonts w:cstheme="minorHAnsi"/>
          <w:bCs/>
        </w:rPr>
        <w:t xml:space="preserve">Understand </w:t>
      </w:r>
      <w:r w:rsidR="00117C00" w:rsidRPr="008521B7">
        <w:rPr>
          <w:rFonts w:cstheme="minorHAnsi"/>
          <w:bCs/>
        </w:rPr>
        <w:t>the motivation behind</w:t>
      </w:r>
      <w:r w:rsidRPr="008521B7">
        <w:rPr>
          <w:rFonts w:cstheme="minorHAnsi"/>
          <w:bCs/>
        </w:rPr>
        <w:t xml:space="preserve"> portfolio combinations of</w:t>
      </w:r>
      <w:r w:rsidR="00A5191D">
        <w:rPr>
          <w:rFonts w:cstheme="minorHAnsi"/>
          <w:bCs/>
        </w:rPr>
        <w:t xml:space="preserve"> investment</w:t>
      </w:r>
      <w:r w:rsidRPr="008521B7">
        <w:rPr>
          <w:rFonts w:cstheme="minorHAnsi"/>
          <w:bCs/>
        </w:rPr>
        <w:t xml:space="preserve"> strategies, construct portfolios with realistic trading costs and risk management.</w:t>
      </w:r>
    </w:p>
    <w:p w14:paraId="04F38F50" w14:textId="79302257" w:rsidR="00A5191D" w:rsidRPr="008521B7" w:rsidRDefault="00A5191D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Compare and contrast the role of fiat and non-fiat currencies for liquidity and store of value purposes</w:t>
      </w:r>
    </w:p>
    <w:p w14:paraId="72BEB47A" w14:textId="3A97ABA3" w:rsidR="00137FFB" w:rsidRPr="008521B7" w:rsidRDefault="00137FFB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8521B7">
        <w:rPr>
          <w:rFonts w:cstheme="minorHAnsi"/>
          <w:bCs/>
        </w:rPr>
        <w:t xml:space="preserve">Follow current research in quantitative </w:t>
      </w:r>
      <w:r w:rsidR="002C5D20">
        <w:rPr>
          <w:rFonts w:cstheme="minorHAnsi"/>
          <w:bCs/>
        </w:rPr>
        <w:t>investing</w:t>
      </w:r>
      <w:r w:rsidRPr="008521B7">
        <w:rPr>
          <w:rFonts w:cstheme="minorHAnsi"/>
          <w:bCs/>
        </w:rPr>
        <w:t xml:space="preserve"> </w:t>
      </w:r>
    </w:p>
    <w:p w14:paraId="618D1C77" w14:textId="04EA1C51" w:rsidR="00A8018B" w:rsidRPr="008521B7" w:rsidRDefault="00A8018B" w:rsidP="00AD5AD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Gain a practical understanding of the process of establishing </w:t>
      </w:r>
      <w:r w:rsidR="00FF627B">
        <w:rPr>
          <w:rFonts w:cstheme="minorHAnsi"/>
          <w:bCs/>
        </w:rPr>
        <w:t>and</w:t>
      </w:r>
      <w:r>
        <w:rPr>
          <w:rFonts w:cstheme="minorHAnsi"/>
          <w:bCs/>
        </w:rPr>
        <w:t xml:space="preserve"> running a</w:t>
      </w:r>
      <w:r w:rsidR="00FF627B">
        <w:rPr>
          <w:rFonts w:cstheme="minorHAnsi"/>
          <w:bCs/>
        </w:rPr>
        <w:t xml:space="preserve"> regulated</w:t>
      </w:r>
      <w:r>
        <w:rPr>
          <w:rFonts w:cstheme="minorHAnsi"/>
          <w:bCs/>
        </w:rPr>
        <w:t xml:space="preserve"> fund management company</w:t>
      </w:r>
    </w:p>
    <w:p w14:paraId="4028E5B7" w14:textId="77777777" w:rsidR="00A8018B" w:rsidRDefault="00A8018B" w:rsidP="00AD5ADA">
      <w:pPr>
        <w:autoSpaceDE w:val="0"/>
        <w:autoSpaceDN w:val="0"/>
        <w:spacing w:after="0" w:line="240" w:lineRule="auto"/>
        <w:jc w:val="both"/>
        <w:rPr>
          <w:rFonts w:cstheme="minorHAnsi"/>
          <w:b/>
          <w:caps/>
          <w:lang w:val="en-GB"/>
        </w:rPr>
      </w:pPr>
    </w:p>
    <w:p w14:paraId="5D634769" w14:textId="77777777" w:rsidR="001E688D" w:rsidRDefault="001E688D" w:rsidP="00AD5ADA">
      <w:pPr>
        <w:autoSpaceDE w:val="0"/>
        <w:autoSpaceDN w:val="0"/>
        <w:spacing w:after="0" w:line="240" w:lineRule="auto"/>
        <w:jc w:val="both"/>
        <w:rPr>
          <w:rFonts w:cstheme="minorHAnsi"/>
          <w:b/>
          <w:caps/>
          <w:lang w:val="en-GB"/>
        </w:rPr>
      </w:pPr>
    </w:p>
    <w:p w14:paraId="17238F85" w14:textId="420BE52A" w:rsidR="00AD5ADA" w:rsidRPr="008521B7" w:rsidRDefault="00AD5ADA" w:rsidP="00AD5ADA">
      <w:pPr>
        <w:autoSpaceDE w:val="0"/>
        <w:autoSpaceDN w:val="0"/>
        <w:spacing w:after="0" w:line="240" w:lineRule="auto"/>
        <w:jc w:val="both"/>
        <w:rPr>
          <w:rFonts w:cstheme="minorHAnsi"/>
          <w:b/>
          <w:caps/>
          <w:lang w:val="en-GB"/>
        </w:rPr>
      </w:pPr>
      <w:r w:rsidRPr="008521B7">
        <w:rPr>
          <w:rFonts w:cstheme="minorHAnsi"/>
          <w:b/>
          <w:caps/>
          <w:lang w:val="en-GB"/>
        </w:rPr>
        <w:t>ASSES</w:t>
      </w:r>
      <w:r w:rsidR="007C7A4C" w:rsidRPr="008521B7">
        <w:rPr>
          <w:rFonts w:cstheme="minorHAnsi"/>
          <w:b/>
          <w:caps/>
          <w:lang w:val="en-GB"/>
        </w:rPr>
        <w:t>s</w:t>
      </w:r>
      <w:r w:rsidRPr="008521B7">
        <w:rPr>
          <w:rFonts w:cstheme="minorHAnsi"/>
          <w:b/>
          <w:caps/>
          <w:lang w:val="en-GB"/>
        </w:rPr>
        <w:t>MENT METHODS</w:t>
      </w:r>
    </w:p>
    <w:p w14:paraId="4A4593D1" w14:textId="77777777" w:rsidR="00AD5ADA" w:rsidRPr="008521B7" w:rsidRDefault="00AD5ADA" w:rsidP="00AD5ADA">
      <w:pPr>
        <w:autoSpaceDE w:val="0"/>
        <w:autoSpaceDN w:val="0"/>
        <w:spacing w:after="0" w:line="240" w:lineRule="auto"/>
        <w:jc w:val="both"/>
        <w:rPr>
          <w:rFonts w:cstheme="minorHAnsi"/>
          <w:u w:val="single"/>
          <w:lang w:val="en-GB"/>
        </w:rPr>
      </w:pPr>
      <w:r w:rsidRPr="008521B7">
        <w:rPr>
          <w:rFonts w:cstheme="minorHAnsi"/>
          <w:u w:val="single"/>
          <w:lang w:val="en-GB"/>
        </w:rPr>
        <w:t>Basis of Assessment</w:t>
      </w:r>
    </w:p>
    <w:p w14:paraId="6A44A319" w14:textId="77777777" w:rsidR="004A3390" w:rsidRPr="008521B7" w:rsidRDefault="004A3390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</w:p>
    <w:p w14:paraId="6631DEAE" w14:textId="71C31381" w:rsidR="00AD5ADA" w:rsidRPr="008521B7" w:rsidRDefault="00F30119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 w:rsidRPr="008521B7">
        <w:rPr>
          <w:rFonts w:cstheme="minorHAnsi"/>
          <w:lang w:val="en-GB"/>
        </w:rPr>
        <w:t>Class participation</w:t>
      </w:r>
      <w:r w:rsidR="000B6DDA" w:rsidRPr="008521B7">
        <w:rPr>
          <w:rFonts w:cstheme="minorHAnsi"/>
          <w:lang w:val="en-GB"/>
        </w:rPr>
        <w:t xml:space="preserve"> and </w:t>
      </w:r>
      <w:r w:rsidR="003B59A5" w:rsidRPr="008521B7">
        <w:rPr>
          <w:rFonts w:cstheme="minorHAnsi"/>
          <w:lang w:val="en-GB"/>
        </w:rPr>
        <w:t>discussion</w:t>
      </w:r>
      <w:r w:rsidR="00141C26" w:rsidRPr="008521B7">
        <w:rPr>
          <w:rFonts w:cstheme="minorHAnsi"/>
          <w:lang w:val="en-GB"/>
        </w:rPr>
        <w:tab/>
      </w:r>
      <w:r w:rsidRPr="008521B7">
        <w:rPr>
          <w:rFonts w:cstheme="minorHAnsi"/>
          <w:lang w:val="en-GB"/>
        </w:rPr>
        <w:tab/>
      </w:r>
      <w:r w:rsidR="001F3BA6">
        <w:rPr>
          <w:rFonts w:cstheme="minorHAnsi"/>
          <w:lang w:val="en-GB"/>
        </w:rPr>
        <w:tab/>
      </w:r>
      <w:r w:rsidR="001F3BA6">
        <w:rPr>
          <w:rFonts w:cstheme="minorHAnsi"/>
          <w:lang w:val="en-GB"/>
        </w:rPr>
        <w:tab/>
      </w:r>
      <w:r w:rsidR="007A3885">
        <w:rPr>
          <w:rFonts w:cstheme="minorHAnsi"/>
          <w:lang w:val="en-GB"/>
        </w:rPr>
        <w:t>20</w:t>
      </w:r>
      <w:r w:rsidR="00AD5ADA" w:rsidRPr="008521B7">
        <w:rPr>
          <w:rFonts w:cstheme="minorHAnsi"/>
          <w:lang w:val="en-GB"/>
        </w:rPr>
        <w:t>%</w:t>
      </w:r>
    </w:p>
    <w:p w14:paraId="2238A8EE" w14:textId="36127071" w:rsidR="00AD5ADA" w:rsidRDefault="002B2C4B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Group </w:t>
      </w:r>
      <w:r w:rsidR="00C07B9F" w:rsidRPr="008521B7">
        <w:rPr>
          <w:rFonts w:cstheme="minorHAnsi"/>
          <w:lang w:val="en-GB"/>
        </w:rPr>
        <w:t>Project</w:t>
      </w:r>
      <w:r w:rsidR="00C07B9F" w:rsidRPr="008521B7">
        <w:rPr>
          <w:rFonts w:cstheme="minorHAnsi"/>
          <w:lang w:val="en-GB"/>
        </w:rPr>
        <w:tab/>
      </w:r>
      <w:r w:rsidR="00AD5ADA" w:rsidRPr="008521B7">
        <w:rPr>
          <w:rFonts w:cstheme="minorHAnsi"/>
          <w:lang w:val="en-GB"/>
        </w:rPr>
        <w:tab/>
      </w:r>
      <w:r w:rsidR="00AD5ADA" w:rsidRPr="008521B7">
        <w:rPr>
          <w:rFonts w:cstheme="minorHAnsi"/>
          <w:lang w:val="en-GB"/>
        </w:rPr>
        <w:tab/>
      </w:r>
      <w:r w:rsidR="00AD5ADA" w:rsidRPr="008521B7">
        <w:rPr>
          <w:rFonts w:cstheme="minorHAnsi"/>
          <w:lang w:val="en-GB"/>
        </w:rPr>
        <w:tab/>
      </w:r>
      <w:r w:rsidR="00AD5ADA" w:rsidRPr="008521B7">
        <w:rPr>
          <w:rFonts w:cstheme="minorHAnsi"/>
          <w:lang w:val="en-GB"/>
        </w:rPr>
        <w:tab/>
      </w:r>
      <w:r w:rsidR="001F3BA6">
        <w:rPr>
          <w:rFonts w:cstheme="minorHAnsi"/>
          <w:lang w:val="en-GB"/>
        </w:rPr>
        <w:tab/>
      </w:r>
      <w:r w:rsidR="001F3BA6">
        <w:rPr>
          <w:rFonts w:cstheme="minorHAnsi"/>
          <w:lang w:val="en-GB"/>
        </w:rPr>
        <w:tab/>
      </w:r>
      <w:r w:rsidR="001763B9">
        <w:rPr>
          <w:rFonts w:cstheme="minorHAnsi"/>
          <w:lang w:val="en-GB"/>
        </w:rPr>
        <w:t>4</w:t>
      </w:r>
      <w:r w:rsidR="007A3885">
        <w:rPr>
          <w:rFonts w:cstheme="minorHAnsi"/>
          <w:lang w:val="en-GB"/>
        </w:rPr>
        <w:t>0</w:t>
      </w:r>
      <w:r w:rsidR="00AD5ADA" w:rsidRPr="008521B7">
        <w:rPr>
          <w:rFonts w:cstheme="minorHAnsi"/>
          <w:lang w:val="en-GB"/>
        </w:rPr>
        <w:t>%</w:t>
      </w:r>
    </w:p>
    <w:p w14:paraId="72B585A1" w14:textId="6DE21622" w:rsidR="00AD5ADA" w:rsidRPr="008521B7" w:rsidRDefault="00C07B9F" w:rsidP="00AD5ADA">
      <w:pPr>
        <w:autoSpaceDE w:val="0"/>
        <w:autoSpaceDN w:val="0"/>
        <w:spacing w:after="0" w:line="240" w:lineRule="auto"/>
        <w:jc w:val="both"/>
        <w:rPr>
          <w:rFonts w:cstheme="minorHAnsi"/>
          <w:lang w:val="en-GB"/>
        </w:rPr>
      </w:pPr>
      <w:r w:rsidRPr="008521B7">
        <w:rPr>
          <w:rFonts w:cstheme="minorHAnsi"/>
          <w:lang w:val="en-GB"/>
        </w:rPr>
        <w:t>Final exam</w:t>
      </w:r>
      <w:r w:rsidRPr="008521B7">
        <w:rPr>
          <w:rFonts w:cstheme="minorHAnsi"/>
          <w:lang w:val="en-GB"/>
        </w:rPr>
        <w:tab/>
      </w:r>
      <w:r w:rsidR="00F30119" w:rsidRPr="008521B7">
        <w:rPr>
          <w:rFonts w:cstheme="minorHAnsi"/>
          <w:lang w:val="en-GB"/>
        </w:rPr>
        <w:tab/>
      </w:r>
      <w:r w:rsidR="00F30119" w:rsidRPr="008521B7">
        <w:rPr>
          <w:rFonts w:cstheme="minorHAnsi"/>
          <w:lang w:val="en-GB"/>
        </w:rPr>
        <w:tab/>
      </w:r>
      <w:r w:rsidR="00F30119" w:rsidRPr="008521B7">
        <w:rPr>
          <w:rFonts w:cstheme="minorHAnsi"/>
          <w:lang w:val="en-GB"/>
        </w:rPr>
        <w:tab/>
      </w:r>
      <w:r w:rsidR="00AD5ADA" w:rsidRPr="008521B7">
        <w:rPr>
          <w:rFonts w:cstheme="minorHAnsi"/>
          <w:lang w:val="en-GB"/>
        </w:rPr>
        <w:tab/>
      </w:r>
      <w:r w:rsidR="001F3BA6">
        <w:rPr>
          <w:rFonts w:cstheme="minorHAnsi"/>
          <w:lang w:val="en-GB"/>
        </w:rPr>
        <w:tab/>
      </w:r>
      <w:r w:rsidR="001F3BA6">
        <w:rPr>
          <w:rFonts w:cstheme="minorHAnsi"/>
          <w:lang w:val="en-GB"/>
        </w:rPr>
        <w:tab/>
      </w:r>
      <w:r w:rsidR="001763B9">
        <w:rPr>
          <w:rFonts w:cstheme="minorHAnsi"/>
          <w:lang w:val="en-GB"/>
        </w:rPr>
        <w:t>4</w:t>
      </w:r>
      <w:r w:rsidR="00F30119" w:rsidRPr="008521B7">
        <w:rPr>
          <w:rFonts w:cstheme="minorHAnsi"/>
          <w:lang w:val="en-GB"/>
        </w:rPr>
        <w:t>0</w:t>
      </w:r>
      <w:r w:rsidR="00AD5ADA" w:rsidRPr="008521B7">
        <w:rPr>
          <w:rFonts w:cstheme="minorHAnsi"/>
          <w:lang w:val="en-GB"/>
        </w:rPr>
        <w:t>%</w:t>
      </w:r>
    </w:p>
    <w:p w14:paraId="03471EEF" w14:textId="77777777" w:rsidR="00D572AF" w:rsidRPr="008521B7" w:rsidRDefault="00D572AF" w:rsidP="00141C26">
      <w:pPr>
        <w:spacing w:after="0" w:line="240" w:lineRule="auto"/>
        <w:rPr>
          <w:rFonts w:cstheme="minorHAnsi"/>
          <w:lang w:val="en-GB"/>
        </w:rPr>
      </w:pPr>
    </w:p>
    <w:p w14:paraId="5A7A5E9C" w14:textId="77777777" w:rsidR="00141C26" w:rsidRPr="008521B7" w:rsidRDefault="00141C26" w:rsidP="00141C26">
      <w:pPr>
        <w:spacing w:after="0" w:line="240" w:lineRule="auto"/>
        <w:rPr>
          <w:rFonts w:cstheme="minorHAnsi"/>
        </w:rPr>
      </w:pPr>
    </w:p>
    <w:p w14:paraId="238C71D3" w14:textId="77777777" w:rsidR="00141C26" w:rsidRPr="008521B7" w:rsidRDefault="00141C26" w:rsidP="00141C26">
      <w:pPr>
        <w:spacing w:after="0" w:line="240" w:lineRule="auto"/>
        <w:rPr>
          <w:rFonts w:cstheme="minorHAnsi"/>
          <w:b/>
          <w:bCs/>
          <w:color w:val="000000"/>
        </w:rPr>
      </w:pPr>
      <w:r w:rsidRPr="008521B7">
        <w:rPr>
          <w:rFonts w:cstheme="minorHAnsi"/>
          <w:b/>
          <w:bCs/>
          <w:color w:val="000000"/>
        </w:rPr>
        <w:t>ACADEMIC INTEGRITY</w:t>
      </w:r>
    </w:p>
    <w:p w14:paraId="5DF76C64" w14:textId="77777777" w:rsidR="00141C26" w:rsidRPr="008521B7" w:rsidRDefault="00141C26" w:rsidP="00266CF4">
      <w:pPr>
        <w:spacing w:after="0" w:line="240" w:lineRule="auto"/>
        <w:jc w:val="both"/>
        <w:rPr>
          <w:rFonts w:cstheme="minorHAnsi"/>
          <w:color w:val="000000"/>
        </w:rPr>
      </w:pPr>
      <w:r w:rsidRPr="008521B7">
        <w:rPr>
          <w:rFonts w:cstheme="minorHAnsi"/>
          <w:color w:val="000000"/>
        </w:rPr>
        <w:t xml:space="preserve">All acts of academic dishonesty (including, but not limited to, plagiarism, cheating, fabrication, facilitation of acts of academic dishonesty by others, unauthorized possession of exam </w:t>
      </w:r>
      <w:proofErr w:type="gramStart"/>
      <w:r w:rsidRPr="008521B7">
        <w:rPr>
          <w:rFonts w:cstheme="minorHAnsi"/>
          <w:color w:val="000000"/>
        </w:rPr>
        <w:t>questions,  or</w:t>
      </w:r>
      <w:proofErr w:type="gramEnd"/>
      <w:r w:rsidRPr="008521B7">
        <w:rPr>
          <w:rFonts w:cstheme="minorHAnsi"/>
          <w:color w:val="000000"/>
        </w:rPr>
        <w:t xml:space="preserve"> tampering with the academic work of other students) are serious offences.</w:t>
      </w:r>
    </w:p>
    <w:p w14:paraId="78060FC4" w14:textId="77777777" w:rsidR="00141C26" w:rsidRPr="008521B7" w:rsidRDefault="00141C26" w:rsidP="00266CF4">
      <w:pPr>
        <w:spacing w:after="0" w:line="240" w:lineRule="auto"/>
        <w:jc w:val="both"/>
        <w:rPr>
          <w:rFonts w:cstheme="minorHAnsi"/>
          <w:color w:val="000000"/>
        </w:rPr>
      </w:pPr>
    </w:p>
    <w:p w14:paraId="1B97D16F" w14:textId="77777777" w:rsidR="00141C26" w:rsidRPr="008521B7" w:rsidRDefault="00141C26" w:rsidP="00266CF4">
      <w:pPr>
        <w:spacing w:after="0" w:line="240" w:lineRule="auto"/>
        <w:jc w:val="both"/>
        <w:rPr>
          <w:rStyle w:val="apple-style-span"/>
          <w:rFonts w:cstheme="minorHAnsi"/>
        </w:rPr>
      </w:pPr>
      <w:r w:rsidRPr="008521B7">
        <w:rPr>
          <w:rStyle w:val="apple-style-span"/>
          <w:rFonts w:cstheme="minorHAnsi"/>
          <w:color w:val="000000"/>
        </w:rPr>
        <w:t xml:space="preserve">All work presented in class must be the student’s own work.  Any student caught violating this policy may result in the student receiving zero marks for the component assessment or a </w:t>
      </w:r>
      <w:proofErr w:type="gramStart"/>
      <w:r w:rsidRPr="008521B7">
        <w:rPr>
          <w:rStyle w:val="apple-style-span"/>
          <w:rFonts w:cstheme="minorHAnsi"/>
          <w:color w:val="000000"/>
        </w:rPr>
        <w:t>fail</w:t>
      </w:r>
      <w:proofErr w:type="gramEnd"/>
      <w:r w:rsidRPr="008521B7">
        <w:rPr>
          <w:rStyle w:val="apple-style-span"/>
          <w:rFonts w:cstheme="minorHAnsi"/>
          <w:color w:val="000000"/>
        </w:rPr>
        <w:t xml:space="preserve"> grade for the course.  This policy applies to all works (whether oral or written) submitted for purposes of assessment.</w:t>
      </w:r>
    </w:p>
    <w:p w14:paraId="2A4A5349" w14:textId="77777777" w:rsidR="00141C26" w:rsidRPr="008521B7" w:rsidRDefault="00141C26" w:rsidP="00266CF4">
      <w:pPr>
        <w:spacing w:after="0" w:line="240" w:lineRule="auto"/>
        <w:jc w:val="both"/>
        <w:rPr>
          <w:rFonts w:cstheme="minorHAnsi"/>
        </w:rPr>
      </w:pPr>
    </w:p>
    <w:p w14:paraId="0069E7B2" w14:textId="77777777" w:rsidR="00141C26" w:rsidRPr="008521B7" w:rsidRDefault="008969B1" w:rsidP="00266CF4">
      <w:pPr>
        <w:spacing w:after="0" w:line="240" w:lineRule="auto"/>
        <w:jc w:val="both"/>
        <w:rPr>
          <w:rFonts w:cstheme="minorHAnsi"/>
        </w:rPr>
      </w:pPr>
      <w:r w:rsidRPr="008521B7">
        <w:rPr>
          <w:rStyle w:val="apple-style-span"/>
          <w:rFonts w:cstheme="minorHAnsi"/>
        </w:rPr>
        <w:t>When</w:t>
      </w:r>
      <w:r w:rsidR="00141C26" w:rsidRPr="008521B7">
        <w:rPr>
          <w:rStyle w:val="apple-style-span"/>
          <w:rFonts w:cstheme="minorHAnsi"/>
        </w:rPr>
        <w:t xml:space="preserve"> i</w:t>
      </w:r>
      <w:r w:rsidRPr="008521B7">
        <w:rPr>
          <w:rStyle w:val="apple-style-span"/>
          <w:rFonts w:cstheme="minorHAnsi"/>
        </w:rPr>
        <w:t>n doubt, students are encouraged</w:t>
      </w:r>
      <w:r w:rsidR="00141C26" w:rsidRPr="008521B7">
        <w:rPr>
          <w:rStyle w:val="apple-style-span"/>
          <w:rFonts w:cstheme="minorHAnsi"/>
        </w:rPr>
        <w:t xml:space="preserve"> to consult the instructors of the course. Details on the SMU Code of Academic Integrity may be accessed at </w:t>
      </w:r>
      <w:hyperlink r:id="rId8" w:history="1">
        <w:r w:rsidR="00141C26" w:rsidRPr="008521B7">
          <w:rPr>
            <w:rStyle w:val="Hyperlink"/>
            <w:rFonts w:cstheme="minorHAnsi"/>
          </w:rPr>
          <w:t>http://www.smuscd.org/resources.html</w:t>
        </w:r>
      </w:hyperlink>
      <w:r w:rsidR="00141C26" w:rsidRPr="008521B7">
        <w:rPr>
          <w:rStyle w:val="apple-style-span"/>
          <w:rFonts w:cstheme="minorHAnsi"/>
        </w:rPr>
        <w:t>.</w:t>
      </w:r>
    </w:p>
    <w:p w14:paraId="79EA58C6" w14:textId="77777777" w:rsidR="00141C26" w:rsidRPr="008521B7" w:rsidRDefault="00141C26"/>
    <w:p w14:paraId="0149A388" w14:textId="12E3D712" w:rsidR="00543460" w:rsidRPr="008521B7" w:rsidRDefault="00543460">
      <w:pPr>
        <w:rPr>
          <w:b/>
          <w:caps/>
        </w:rPr>
      </w:pPr>
      <w:r w:rsidRPr="008521B7">
        <w:rPr>
          <w:b/>
          <w:caps/>
        </w:rPr>
        <w:br w:type="page"/>
      </w:r>
    </w:p>
    <w:p w14:paraId="4EFD5EEB" w14:textId="2783AB26" w:rsidR="00543460" w:rsidRPr="008521B7" w:rsidRDefault="00141C26" w:rsidP="00141C26">
      <w:pPr>
        <w:spacing w:after="0" w:line="240" w:lineRule="auto"/>
        <w:rPr>
          <w:b/>
          <w:caps/>
        </w:rPr>
      </w:pPr>
      <w:r w:rsidRPr="008521B7">
        <w:rPr>
          <w:b/>
          <w:caps/>
        </w:rPr>
        <w:lastRenderedPageBreak/>
        <w:t xml:space="preserve">Recommended </w:t>
      </w:r>
      <w:r w:rsidR="00085C41" w:rsidRPr="008521B7">
        <w:rPr>
          <w:b/>
          <w:caps/>
        </w:rPr>
        <w:t>READINGS</w:t>
      </w:r>
      <w:r w:rsidR="00543460" w:rsidRPr="008521B7">
        <w:rPr>
          <w:b/>
          <w:caps/>
        </w:rPr>
        <w:t xml:space="preserve"> </w:t>
      </w:r>
    </w:p>
    <w:p w14:paraId="2BC2F76B" w14:textId="69A94898" w:rsidR="00543460" w:rsidRPr="008521B7" w:rsidRDefault="00543460" w:rsidP="00085C41">
      <w:pPr>
        <w:spacing w:after="0" w:line="240" w:lineRule="auto"/>
        <w:rPr>
          <w:rFonts w:ascii="Arial" w:hAnsi="Arial" w:cs="Arial"/>
          <w:i/>
          <w:color w:val="1C1D1E"/>
          <w:sz w:val="21"/>
          <w:szCs w:val="21"/>
          <w:shd w:val="clear" w:color="auto" w:fill="FFFFFF"/>
        </w:rPr>
      </w:pPr>
      <w:r w:rsidRPr="008521B7">
        <w:rPr>
          <w:rFonts w:ascii="Arial" w:hAnsi="Arial" w:cs="Arial"/>
          <w:i/>
          <w:color w:val="1C1D1E"/>
          <w:sz w:val="21"/>
          <w:szCs w:val="21"/>
          <w:shd w:val="clear" w:color="auto" w:fill="FFFFFF"/>
        </w:rPr>
        <w:t>Provided hyperlinks should retrieve full text</w:t>
      </w:r>
      <w:r w:rsidR="008E3B5E">
        <w:rPr>
          <w:rFonts w:ascii="Arial" w:hAnsi="Arial" w:cs="Arial"/>
          <w:i/>
          <w:color w:val="1C1D1E"/>
          <w:sz w:val="21"/>
          <w:szCs w:val="21"/>
          <w:shd w:val="clear" w:color="auto" w:fill="FFFFFF"/>
        </w:rPr>
        <w:t xml:space="preserve">.  </w:t>
      </w:r>
      <w:r w:rsidR="008E3B5E" w:rsidRPr="00D125AB">
        <w:rPr>
          <w:rFonts w:ascii="Arial" w:hAnsi="Arial" w:cs="Arial"/>
          <w:b/>
          <w:bCs/>
          <w:i/>
          <w:color w:val="1C1D1E"/>
          <w:sz w:val="21"/>
          <w:szCs w:val="21"/>
          <w:shd w:val="clear" w:color="auto" w:fill="FFFFFF"/>
        </w:rPr>
        <w:t xml:space="preserve">All readings are intended to open </w:t>
      </w:r>
      <w:r w:rsidR="00390982" w:rsidRPr="00D125AB">
        <w:rPr>
          <w:rFonts w:ascii="Arial" w:hAnsi="Arial" w:cs="Arial"/>
          <w:b/>
          <w:bCs/>
          <w:i/>
          <w:color w:val="1C1D1E"/>
          <w:sz w:val="21"/>
          <w:szCs w:val="21"/>
          <w:shd w:val="clear" w:color="auto" w:fill="FFFFFF"/>
        </w:rPr>
        <w:t>source and</w:t>
      </w:r>
      <w:r w:rsidR="008E3B5E" w:rsidRPr="00D125AB">
        <w:rPr>
          <w:rFonts w:ascii="Arial" w:hAnsi="Arial" w:cs="Arial"/>
          <w:b/>
          <w:bCs/>
          <w:i/>
          <w:color w:val="1C1D1E"/>
          <w:sz w:val="21"/>
          <w:szCs w:val="21"/>
          <w:shd w:val="clear" w:color="auto" w:fill="FFFFFF"/>
        </w:rPr>
        <w:t xml:space="preserve"> should not be locked behind ‘</w:t>
      </w:r>
      <w:proofErr w:type="gramStart"/>
      <w:r w:rsidR="008E3B5E" w:rsidRPr="00D125AB">
        <w:rPr>
          <w:rFonts w:ascii="Arial" w:hAnsi="Arial" w:cs="Arial"/>
          <w:b/>
          <w:bCs/>
          <w:i/>
          <w:color w:val="1C1D1E"/>
          <w:sz w:val="21"/>
          <w:szCs w:val="21"/>
          <w:shd w:val="clear" w:color="auto" w:fill="FFFFFF"/>
        </w:rPr>
        <w:t>paywalls’</w:t>
      </w:r>
      <w:proofErr w:type="gramEnd"/>
      <w:r w:rsidR="00390982">
        <w:rPr>
          <w:rFonts w:ascii="Arial" w:hAnsi="Arial" w:cs="Arial"/>
          <w:i/>
          <w:color w:val="1C1D1E"/>
          <w:sz w:val="21"/>
          <w:szCs w:val="21"/>
          <w:shd w:val="clear" w:color="auto" w:fill="FFFFFF"/>
        </w:rPr>
        <w:t xml:space="preserve">.  </w:t>
      </w:r>
    </w:p>
    <w:p w14:paraId="02F8DF85" w14:textId="77777777" w:rsidR="00543460" w:rsidRPr="008521B7" w:rsidRDefault="00543460" w:rsidP="00085C41">
      <w:p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31365C28" w14:textId="11F82755" w:rsidR="00085C41" w:rsidRPr="008521B7" w:rsidRDefault="00085C41" w:rsidP="00085C41">
      <w:p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780995BB" w14:textId="2EC418E7" w:rsidR="00085C41" w:rsidRPr="008521B7" w:rsidRDefault="00085C41" w:rsidP="003F642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F</w:t>
      </w:r>
      <w:r w:rsidR="00543460"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ama</w:t>
      </w:r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, E. F. and F</w:t>
      </w:r>
      <w:r w:rsidR="00543460"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rench</w:t>
      </w:r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K. R. (2008), Dissecting Anomalies. The Journal of Finance, 63: 1653-1678. </w:t>
      </w:r>
      <w:r w:rsidR="003F6423"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 </w:t>
      </w:r>
      <w:hyperlink r:id="rId9" w:history="1">
        <w:r w:rsidRPr="008521B7">
          <w:rPr>
            <w:rFonts w:ascii="Arial" w:hAnsi="Arial" w:cs="Arial"/>
            <w:color w:val="1C1D1E"/>
            <w:sz w:val="21"/>
            <w:szCs w:val="21"/>
            <w:shd w:val="clear" w:color="auto" w:fill="FFFFFF"/>
          </w:rPr>
          <w:t>https://pdfs.semanticscholar.org/99ce/e66ee68a65aeb67f97c1e224103cff0df208.pdf</w:t>
        </w:r>
      </w:hyperlink>
    </w:p>
    <w:p w14:paraId="3CE0FD61" w14:textId="00A8385B" w:rsidR="00085C41" w:rsidRPr="008521B7" w:rsidRDefault="00085C41" w:rsidP="00085C41">
      <w:p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4BDA1381" w14:textId="0A4951AD" w:rsidR="00E10DAA" w:rsidRPr="008521B7" w:rsidRDefault="00E10DAA" w:rsidP="003F642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Frazzini, Andrea and Israel, Ronen and Moskowitz, Tobias J., Trading Costs of Asset Pricing Anomalies (December 5, 2012). Fama-Miller Working Paper; Chicago Booth Research Paper No. 14-05. </w:t>
      </w:r>
      <w:r w:rsidR="003F6423"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 </w:t>
      </w:r>
      <w:hyperlink r:id="rId10" w:tgtFrame="_blank" w:history="1">
        <w:r w:rsidRPr="008521B7">
          <w:rPr>
            <w:rFonts w:ascii="Arial" w:hAnsi="Arial" w:cs="Arial"/>
            <w:color w:val="1C1D1E"/>
            <w:sz w:val="21"/>
            <w:szCs w:val="21"/>
          </w:rPr>
          <w:t>https://ssrn.com/abstract=2294498</w:t>
        </w:r>
      </w:hyperlink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 or </w:t>
      </w:r>
      <w:hyperlink r:id="rId11" w:tgtFrame="_blank" w:history="1">
        <w:r w:rsidRPr="008521B7">
          <w:rPr>
            <w:rFonts w:ascii="Arial" w:hAnsi="Arial" w:cs="Arial"/>
            <w:color w:val="1C1D1E"/>
            <w:sz w:val="21"/>
            <w:szCs w:val="21"/>
          </w:rPr>
          <w:t>http://dx.doi.org/10.2139/ssrn.2294498</w:t>
        </w:r>
      </w:hyperlink>
    </w:p>
    <w:p w14:paraId="4E6F7C47" w14:textId="77777777" w:rsidR="00E10DAA" w:rsidRPr="008521B7" w:rsidRDefault="00E10DAA" w:rsidP="00085C41">
      <w:p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2EB30B68" w14:textId="39CF2035" w:rsidR="00E10DAA" w:rsidRPr="008521B7" w:rsidRDefault="00E10DAA" w:rsidP="003F642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Robert Novy-Marx, Mihail </w:t>
      </w:r>
      <w:proofErr w:type="spellStart"/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Velikov</w:t>
      </w:r>
      <w:proofErr w:type="spellEnd"/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; A Taxonomy of Anomalies and Their Trading Costs, The Review of Financial Studies, Volume 29, Issue 1, 1 January 2016, Pages 104–147, </w:t>
      </w:r>
      <w:hyperlink r:id="rId12" w:history="1">
        <w:r w:rsidRPr="008521B7">
          <w:rPr>
            <w:rFonts w:ascii="Arial" w:hAnsi="Arial" w:cs="Arial"/>
            <w:color w:val="1C1D1E"/>
            <w:sz w:val="21"/>
            <w:szCs w:val="21"/>
            <w:shd w:val="clear" w:color="auto" w:fill="FFFFFF"/>
          </w:rPr>
          <w:t>http://rnm.simon.rochester.edu/research/ToAatTC.pdf</w:t>
        </w:r>
      </w:hyperlink>
    </w:p>
    <w:p w14:paraId="3BCDFADC" w14:textId="77777777" w:rsidR="00E10DAA" w:rsidRPr="008521B7" w:rsidRDefault="00E10DAA" w:rsidP="00085C41">
      <w:p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5728FF1C" w14:textId="02788D21" w:rsidR="00613FB5" w:rsidRDefault="00085C41" w:rsidP="003F642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Campbell R. Harvey, Yan Liu, </w:t>
      </w:r>
      <w:proofErr w:type="spellStart"/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>Heqing</w:t>
      </w:r>
      <w:proofErr w:type="spellEnd"/>
      <w:r w:rsidRPr="008521B7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 Zhu; … and the Cross-Section of Expected Returns, The Review of Financial Studies, Volume 29, Issue 1, 1 January 2016, Pages 5–68, </w:t>
      </w:r>
      <w:hyperlink r:id="rId13" w:history="1">
        <w:r w:rsidRPr="008521B7">
          <w:rPr>
            <w:rFonts w:ascii="Arial" w:hAnsi="Arial" w:cs="Arial"/>
            <w:color w:val="1C1D1E"/>
            <w:sz w:val="21"/>
            <w:szCs w:val="21"/>
            <w:shd w:val="clear" w:color="auto" w:fill="FFFFFF"/>
          </w:rPr>
          <w:t>https://academic.oup.com/rfs/article/29/1/5/1843824</w:t>
        </w:r>
      </w:hyperlink>
    </w:p>
    <w:p w14:paraId="313B7EA0" w14:textId="77777777" w:rsidR="00613FB5" w:rsidRPr="00613FB5" w:rsidRDefault="00613FB5" w:rsidP="00613FB5">
      <w:pPr>
        <w:pStyle w:val="ListParagraph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65CAD432" w14:textId="3FFD6CA9" w:rsidR="00613FB5" w:rsidRDefault="00613FB5" w:rsidP="00613F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613FB5">
        <w:rPr>
          <w:rFonts w:ascii="Arial" w:hAnsi="Arial" w:cs="Arial"/>
          <w:color w:val="1C1D1E"/>
          <w:sz w:val="21"/>
          <w:szCs w:val="21"/>
          <w:shd w:val="clear" w:color="auto" w:fill="FFFFFF"/>
        </w:rPr>
        <w:t>Managed Futures Research: A Composite CTA Performance Review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</w:t>
      </w:r>
      <w:r w:rsidRPr="00613FB5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Thomas Schneeweis, Richard Spurgin, Edward </w:t>
      </w:r>
      <w:proofErr w:type="spellStart"/>
      <w:r w:rsidRPr="00613FB5">
        <w:rPr>
          <w:rFonts w:ascii="Arial" w:hAnsi="Arial" w:cs="Arial"/>
          <w:color w:val="1C1D1E"/>
          <w:sz w:val="21"/>
          <w:szCs w:val="21"/>
          <w:shd w:val="clear" w:color="auto" w:fill="FFFFFF"/>
        </w:rPr>
        <w:t>Szado</w:t>
      </w:r>
      <w:proofErr w:type="spellEnd"/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</w:t>
      </w:r>
      <w:r w:rsidRPr="00613FB5">
        <w:rPr>
          <w:rFonts w:ascii="Arial" w:hAnsi="Arial" w:cs="Arial"/>
          <w:color w:val="1C1D1E"/>
          <w:sz w:val="21"/>
          <w:szCs w:val="21"/>
          <w:shd w:val="clear" w:color="auto" w:fill="FFFFFF"/>
        </w:rPr>
        <w:t>The Journal of Alternative Investments Dec 2012, 15 (3) 32-61; DOI: 10.3905/jai.2012.15.3.032</w:t>
      </w:r>
    </w:p>
    <w:p w14:paraId="0D2CD669" w14:textId="77777777" w:rsidR="00101401" w:rsidRPr="00101401" w:rsidRDefault="00101401" w:rsidP="00101401">
      <w:pPr>
        <w:pStyle w:val="ListParagraph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783E681B" w14:textId="2B190AD7" w:rsidR="00101401" w:rsidRDefault="00101401" w:rsidP="00613FB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101401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Irwin, Scott H. and Holt, Bryce, The Effect of Large Hedge Fund and </w:t>
      </w:r>
      <w:r w:rsidR="00007CF8">
        <w:rPr>
          <w:rFonts w:ascii="Arial" w:hAnsi="Arial" w:cs="Arial"/>
          <w:color w:val="1C1D1E"/>
          <w:sz w:val="21"/>
          <w:szCs w:val="21"/>
          <w:shd w:val="clear" w:color="auto" w:fill="FFFFFF"/>
        </w:rPr>
        <w:t>CTA</w:t>
      </w:r>
      <w:r w:rsidRPr="00101401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 Trading on Futures Market Volatility. COMMODITY TRADING ADVISORS: RISK, PERFORMANCE ANALYSIS AND SELECTION, Greg N. Gregoriou, Vassilios N. Karavas, Francois-Serge </w:t>
      </w:r>
      <w:proofErr w:type="spellStart"/>
      <w:r w:rsidRPr="00101401">
        <w:rPr>
          <w:rFonts w:ascii="Arial" w:hAnsi="Arial" w:cs="Arial"/>
          <w:color w:val="1C1D1E"/>
          <w:sz w:val="21"/>
          <w:szCs w:val="21"/>
          <w:shd w:val="clear" w:color="auto" w:fill="FFFFFF"/>
        </w:rPr>
        <w:t>L'Habitant</w:t>
      </w:r>
      <w:proofErr w:type="spellEnd"/>
      <w:r w:rsidRPr="00101401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, Fabrice </w:t>
      </w:r>
      <w:proofErr w:type="spellStart"/>
      <w:r w:rsidRPr="00101401">
        <w:rPr>
          <w:rFonts w:ascii="Arial" w:hAnsi="Arial" w:cs="Arial"/>
          <w:color w:val="1C1D1E"/>
          <w:sz w:val="21"/>
          <w:szCs w:val="21"/>
          <w:shd w:val="clear" w:color="auto" w:fill="FFFFFF"/>
        </w:rPr>
        <w:t>Rouah</w:t>
      </w:r>
      <w:proofErr w:type="spellEnd"/>
      <w:r w:rsidRPr="00101401">
        <w:rPr>
          <w:rFonts w:ascii="Arial" w:hAnsi="Arial" w:cs="Arial"/>
          <w:color w:val="1C1D1E"/>
          <w:sz w:val="21"/>
          <w:szCs w:val="21"/>
          <w:shd w:val="clear" w:color="auto" w:fill="FFFFFF"/>
        </w:rPr>
        <w:t>, eds., John Wiley and Sons, Inc., 2004. Available at SSRN: </w:t>
      </w:r>
      <w:hyperlink r:id="rId14" w:tgtFrame="_blank" w:history="1">
        <w:r w:rsidRPr="00101401">
          <w:rPr>
            <w:rFonts w:ascii="Arial" w:hAnsi="Arial" w:cs="Arial"/>
            <w:color w:val="1C1D1E"/>
            <w:sz w:val="21"/>
            <w:szCs w:val="21"/>
          </w:rPr>
          <w:t>https://ssrn.com/abstract=558661</w:t>
        </w:r>
      </w:hyperlink>
    </w:p>
    <w:p w14:paraId="3B4C6817" w14:textId="77777777" w:rsidR="00101401" w:rsidRPr="00101401" w:rsidRDefault="00101401" w:rsidP="00101401">
      <w:pPr>
        <w:pStyle w:val="ListParagraph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204948E8" w14:textId="0C3C2086" w:rsidR="00BC7D7C" w:rsidRPr="00BC17BF" w:rsidRDefault="00101401" w:rsidP="00BC7D7C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BC17BF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Introduction to Risk Parity and Budgeting:  </w:t>
      </w:r>
      <w:hyperlink r:id="rId15" w:history="1">
        <w:r w:rsidR="00BC17BF">
          <w:rPr>
            <w:rStyle w:val="Hyperlink"/>
          </w:rPr>
          <w:t>https://www.researchgate.net/profile/Jason_Hsu8/publication/228206016_Risk_Parity_Portfolio_vs_Other_Asset_Allocation_Heuristic_Portfolios/links/00b7d532848224ae2d000000/Risk-Parity-Portfolio-vs-Other-Asset-Allocation-Heuristic-Portfolios.pdf</w:t>
        </w:r>
      </w:hyperlink>
    </w:p>
    <w:p w14:paraId="33BFA9D9" w14:textId="1E52DC18" w:rsidR="000B1511" w:rsidRDefault="000B1511">
      <w:pPr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br w:type="page"/>
      </w:r>
    </w:p>
    <w:p w14:paraId="4C1599A0" w14:textId="0A200A03" w:rsidR="00085C41" w:rsidRDefault="00085C41" w:rsidP="00085C41">
      <w:pPr>
        <w:spacing w:after="0" w:line="240" w:lineRule="auto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14:paraId="23F9DEE8" w14:textId="77777777" w:rsidR="00D450DB" w:rsidRPr="008521B7" w:rsidRDefault="00D450DB" w:rsidP="00D450DB">
      <w:pPr>
        <w:pStyle w:val="Heading2"/>
        <w:tabs>
          <w:tab w:val="left" w:pos="-720"/>
          <w:tab w:val="left" w:pos="-180"/>
        </w:tabs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8521B7">
        <w:rPr>
          <w:rFonts w:asciiTheme="minorHAnsi" w:hAnsiTheme="minorHAnsi" w:cstheme="minorHAnsi"/>
          <w:color w:val="auto"/>
          <w:sz w:val="22"/>
          <w:szCs w:val="22"/>
        </w:rPr>
        <w:t>TENTATIVE SCHEDULE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7943"/>
      </w:tblGrid>
      <w:tr w:rsidR="002E7E77" w:rsidRPr="008521B7" w14:paraId="23B33E54" w14:textId="77777777" w:rsidTr="002917A4">
        <w:trPr>
          <w:jc w:val="center"/>
        </w:trPr>
        <w:tc>
          <w:tcPr>
            <w:tcW w:w="988" w:type="dxa"/>
            <w:vAlign w:val="center"/>
          </w:tcPr>
          <w:p w14:paraId="43E9391B" w14:textId="7D546CD7" w:rsidR="002E7E77" w:rsidRPr="008521B7" w:rsidRDefault="002E7E77" w:rsidP="00F3011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Class</w:t>
            </w:r>
          </w:p>
          <w:p w14:paraId="65409DF1" w14:textId="77777777" w:rsidR="002E7E77" w:rsidRPr="008521B7" w:rsidRDefault="002E7E77" w:rsidP="00F30119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8521B7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7943" w:type="dxa"/>
            <w:vAlign w:val="center"/>
          </w:tcPr>
          <w:p w14:paraId="7AF81E48" w14:textId="77777777" w:rsidR="002E7E77" w:rsidRPr="008521B7" w:rsidRDefault="002E7E77" w:rsidP="002E7E77">
            <w:pPr>
              <w:spacing w:after="0" w:line="240" w:lineRule="auto"/>
              <w:rPr>
                <w:rFonts w:cstheme="minorHAnsi"/>
                <w:b/>
                <w:bCs/>
              </w:rPr>
            </w:pPr>
            <w:r w:rsidRPr="008521B7">
              <w:rPr>
                <w:rFonts w:cstheme="minorHAnsi"/>
                <w:b/>
                <w:bCs/>
              </w:rPr>
              <w:t>Topic</w:t>
            </w:r>
          </w:p>
        </w:tc>
      </w:tr>
      <w:tr w:rsidR="002E7E77" w:rsidRPr="008521B7" w14:paraId="36FA4CCE" w14:textId="77777777" w:rsidTr="002917A4">
        <w:trPr>
          <w:jc w:val="center"/>
        </w:trPr>
        <w:tc>
          <w:tcPr>
            <w:tcW w:w="988" w:type="dxa"/>
            <w:vAlign w:val="center"/>
          </w:tcPr>
          <w:p w14:paraId="2E6AF276" w14:textId="77777777" w:rsidR="002E7E77" w:rsidRPr="008521B7" w:rsidRDefault="002E7E77" w:rsidP="00F30119">
            <w:pPr>
              <w:spacing w:after="0" w:line="240" w:lineRule="auto"/>
              <w:jc w:val="center"/>
              <w:rPr>
                <w:rFonts w:cstheme="minorHAnsi"/>
              </w:rPr>
            </w:pPr>
            <w:r w:rsidRPr="008521B7">
              <w:rPr>
                <w:rFonts w:cstheme="minorHAnsi"/>
              </w:rPr>
              <w:t>1</w:t>
            </w:r>
          </w:p>
        </w:tc>
        <w:tc>
          <w:tcPr>
            <w:tcW w:w="7943" w:type="dxa"/>
            <w:vAlign w:val="center"/>
          </w:tcPr>
          <w:p w14:paraId="57E45974" w14:textId="7155502F" w:rsidR="002E7E77" w:rsidRPr="008521B7" w:rsidRDefault="002E7E77" w:rsidP="002E7E77">
            <w:pPr>
              <w:pStyle w:val="Normal11pt"/>
              <w:rPr>
                <w:rFonts w:asciiTheme="minorHAnsi" w:eastAsiaTheme="minorEastAsia" w:hAnsiTheme="minorHAnsi" w:cstheme="minorHAnsi"/>
                <w:spacing w:val="0"/>
                <w:lang w:eastAsia="zh-CN"/>
              </w:rPr>
            </w:pPr>
            <w:r w:rsidRPr="008521B7"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 xml:space="preserve">Course overview, introduction to quantitative </w:t>
            </w:r>
            <w:r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>investing</w:t>
            </w:r>
            <w:r w:rsidRPr="008521B7"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 xml:space="preserve"> by asset class</w:t>
            </w:r>
            <w:r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 xml:space="preserve">, </w:t>
            </w:r>
            <w:r w:rsidRPr="008521B7"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>risk-return characteristics</w:t>
            </w:r>
            <w:r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 xml:space="preserve"> and trading frequency</w:t>
            </w:r>
          </w:p>
        </w:tc>
      </w:tr>
      <w:tr w:rsidR="002E7E77" w:rsidRPr="008521B7" w14:paraId="575AA1BE" w14:textId="77777777" w:rsidTr="002917A4">
        <w:trPr>
          <w:jc w:val="center"/>
        </w:trPr>
        <w:tc>
          <w:tcPr>
            <w:tcW w:w="988" w:type="dxa"/>
            <w:vAlign w:val="center"/>
          </w:tcPr>
          <w:p w14:paraId="7A4F76BE" w14:textId="5DD9420D" w:rsidR="002E7E77" w:rsidRPr="008521B7" w:rsidRDefault="002E7E77" w:rsidP="00F3011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943" w:type="dxa"/>
            <w:vAlign w:val="center"/>
          </w:tcPr>
          <w:p w14:paraId="558B4518" w14:textId="56E92018" w:rsidR="002E7E77" w:rsidRPr="008521B7" w:rsidRDefault="002E7E77" w:rsidP="002E7E77">
            <w:pPr>
              <w:pStyle w:val="Normal11pt"/>
              <w:rPr>
                <w:rFonts w:asciiTheme="minorHAnsi" w:eastAsiaTheme="minorEastAsia" w:hAnsiTheme="minorHAnsi" w:cstheme="minorHAnsi"/>
                <w:spacing w:val="0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>Simple equities strategies</w:t>
            </w:r>
            <w:r w:rsidR="00346019"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 xml:space="preserve"> (formed on individual instruments) </w:t>
            </w:r>
            <w:r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>based on time series patterns</w:t>
            </w:r>
            <w:r w:rsidR="00346019"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 xml:space="preserve">.  </w:t>
            </w:r>
          </w:p>
        </w:tc>
      </w:tr>
      <w:tr w:rsidR="002E7E77" w:rsidRPr="008521B7" w14:paraId="7685F6BE" w14:textId="77777777" w:rsidTr="002917A4">
        <w:trPr>
          <w:jc w:val="center"/>
        </w:trPr>
        <w:tc>
          <w:tcPr>
            <w:tcW w:w="988" w:type="dxa"/>
            <w:vAlign w:val="center"/>
          </w:tcPr>
          <w:p w14:paraId="35384A70" w14:textId="588BA1D2" w:rsidR="002E7E77" w:rsidRPr="008521B7" w:rsidRDefault="002E7E77" w:rsidP="00F3011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943" w:type="dxa"/>
            <w:vAlign w:val="center"/>
          </w:tcPr>
          <w:p w14:paraId="520EDB73" w14:textId="77777777" w:rsidR="002E7E77" w:rsidRDefault="00346019" w:rsidP="002E7E77">
            <w:pPr>
              <w:pStyle w:val="Normal11pt"/>
              <w:rPr>
                <w:rFonts w:asciiTheme="minorHAnsi" w:eastAsiaTheme="minorEastAsia" w:hAnsiTheme="minorHAnsi" w:cstheme="minorHAnsi"/>
                <w:spacing w:val="0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pacing w:val="0"/>
                <w:lang w:eastAsia="zh-CN"/>
              </w:rPr>
              <w:t>Systematic investing strategies based on corporate fundamentals</w:t>
            </w:r>
          </w:p>
          <w:p w14:paraId="38270073" w14:textId="77777777" w:rsidR="00596CAB" w:rsidRDefault="00596CAB" w:rsidP="002E7E77">
            <w:pPr>
              <w:pStyle w:val="Normal11pt"/>
              <w:rPr>
                <w:rFonts w:asciiTheme="minorHAnsi" w:eastAsiaTheme="minorEastAsia" w:hAnsiTheme="minorHAnsi" w:cstheme="minorHAnsi"/>
                <w:spacing w:val="0"/>
                <w:lang w:eastAsia="zh-CN"/>
              </w:rPr>
            </w:pPr>
          </w:p>
          <w:p w14:paraId="4B8C83ED" w14:textId="0FF3048B" w:rsidR="00596CAB" w:rsidRPr="008521B7" w:rsidRDefault="00961578" w:rsidP="002E7E77">
            <w:pPr>
              <w:pStyle w:val="Normal11pt"/>
              <w:rPr>
                <w:rFonts w:asciiTheme="minorHAnsi" w:eastAsiaTheme="minorEastAsia" w:hAnsiTheme="minorHAnsi" w:cstheme="minorHAnsi"/>
                <w:spacing w:val="0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C</w:t>
            </w:r>
            <w:r w:rsidR="00596CAB">
              <w:rPr>
                <w:rFonts w:asciiTheme="minorHAnsi" w:eastAsiaTheme="minorEastAsia" w:hAnsiTheme="minorHAnsi" w:cstheme="minorHAnsi"/>
                <w:lang w:eastAsia="zh-CN"/>
              </w:rPr>
              <w:t xml:space="preserve">ommon data sources available to systematic portfolio managers, including platform specific discussions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on</w:t>
            </w:r>
            <w:r w:rsidR="00596CAB">
              <w:rPr>
                <w:rFonts w:asciiTheme="minorHAnsi" w:eastAsiaTheme="minorEastAsia" w:hAnsiTheme="minorHAnsi" w:cstheme="minorHAnsi"/>
                <w:lang w:eastAsia="zh-CN"/>
              </w:rPr>
              <w:t xml:space="preserve"> Bloomberg and Eikon</w:t>
            </w:r>
          </w:p>
        </w:tc>
      </w:tr>
      <w:tr w:rsidR="002E7E77" w:rsidRPr="008521B7" w14:paraId="0799CEDF" w14:textId="77777777" w:rsidTr="002917A4">
        <w:trPr>
          <w:jc w:val="center"/>
        </w:trPr>
        <w:tc>
          <w:tcPr>
            <w:tcW w:w="988" w:type="dxa"/>
            <w:vAlign w:val="center"/>
          </w:tcPr>
          <w:p w14:paraId="4DB6A831" w14:textId="6FADE065" w:rsidR="002E7E77" w:rsidRPr="008521B7" w:rsidRDefault="002E7E77" w:rsidP="00613FB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943" w:type="dxa"/>
            <w:vAlign w:val="center"/>
          </w:tcPr>
          <w:p w14:paraId="4AE3305B" w14:textId="77777777" w:rsidR="002E7E77" w:rsidRDefault="00346019" w:rsidP="002E7E77">
            <w:pPr>
              <w:pStyle w:val="Normal11pt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Systematic investing strategies based on investor and analyst sentiment</w:t>
            </w:r>
          </w:p>
          <w:p w14:paraId="3907053A" w14:textId="77777777" w:rsidR="00346019" w:rsidRDefault="00346019" w:rsidP="002E7E77">
            <w:pPr>
              <w:pStyle w:val="Normal11pt"/>
              <w:rPr>
                <w:rFonts w:asciiTheme="minorHAnsi" w:eastAsiaTheme="minorEastAsia" w:hAnsiTheme="minorHAnsi" w:cstheme="minorHAnsi"/>
                <w:lang w:eastAsia="zh-CN"/>
              </w:rPr>
            </w:pPr>
          </w:p>
          <w:p w14:paraId="735F4E18" w14:textId="790211D9" w:rsidR="00346019" w:rsidRPr="00B54CDA" w:rsidRDefault="00961578" w:rsidP="002E7E77">
            <w:pPr>
              <w:pStyle w:val="Normal11pt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lang w:eastAsia="zh-CN"/>
              </w:rPr>
              <w:t>M</w:t>
            </w:r>
            <w:r w:rsidR="00596CAB">
              <w:rPr>
                <w:rFonts w:asciiTheme="minorHAnsi" w:eastAsiaTheme="minorEastAsia" w:hAnsiTheme="minorHAnsi" w:cstheme="minorHAnsi"/>
                <w:lang w:eastAsia="zh-CN"/>
              </w:rPr>
              <w:t xml:space="preserve">icroeconomic underpinnings of the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systematic</w:t>
            </w:r>
            <w:r w:rsidR="00596CAB">
              <w:rPr>
                <w:rFonts w:asciiTheme="minorHAnsi" w:eastAsiaTheme="minorEastAsia" w:hAnsiTheme="minorHAnsi" w:cstheme="minorHAnsi"/>
                <w:lang w:eastAsia="zh-CN"/>
              </w:rPr>
              <w:t xml:space="preserve"> strategies, based on behavioural finance and </w:t>
            </w:r>
            <w:r>
              <w:rPr>
                <w:rFonts w:asciiTheme="minorHAnsi" w:eastAsiaTheme="minorEastAsia" w:hAnsiTheme="minorHAnsi" w:cstheme="minorHAnsi"/>
                <w:lang w:eastAsia="zh-CN"/>
              </w:rPr>
              <w:t>large-scale</w:t>
            </w:r>
            <w:r w:rsidR="00596CAB">
              <w:rPr>
                <w:rFonts w:asciiTheme="minorHAnsi" w:eastAsiaTheme="minorEastAsia" w:hAnsiTheme="minorHAnsi" w:cstheme="minorHAnsi"/>
                <w:lang w:eastAsia="zh-CN"/>
              </w:rPr>
              <w:t xml:space="preserve"> patterns in investor psychology</w:t>
            </w:r>
          </w:p>
        </w:tc>
      </w:tr>
      <w:tr w:rsidR="002E7E77" w:rsidRPr="008521B7" w14:paraId="35C2F5C2" w14:textId="77777777" w:rsidTr="002917A4">
        <w:trPr>
          <w:jc w:val="center"/>
        </w:trPr>
        <w:tc>
          <w:tcPr>
            <w:tcW w:w="988" w:type="dxa"/>
            <w:vAlign w:val="center"/>
          </w:tcPr>
          <w:p w14:paraId="3B614431" w14:textId="33539209" w:rsidR="002E7E77" w:rsidRPr="008521B7" w:rsidRDefault="002E7E77" w:rsidP="00613FB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943" w:type="dxa"/>
            <w:vAlign w:val="center"/>
          </w:tcPr>
          <w:p w14:paraId="4AC855D7" w14:textId="77B48020" w:rsidR="002E7E77" w:rsidRPr="008521B7" w:rsidRDefault="00596CAB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Portfolio combinations of systematic investment strategies</w:t>
            </w:r>
          </w:p>
          <w:p w14:paraId="1D81DEF9" w14:textId="043C8DD0" w:rsidR="002E7E77" w:rsidRPr="008521B7" w:rsidRDefault="002E7E77" w:rsidP="002E7E77">
            <w:pPr>
              <w:pStyle w:val="Heading3"/>
              <w:tabs>
                <w:tab w:val="left" w:pos="-720"/>
              </w:tabs>
              <w:suppressAutoHyphens/>
              <w:spacing w:before="0"/>
              <w:rPr>
                <w:rFonts w:asciiTheme="minorHAnsi" w:eastAsiaTheme="minorEastAsia" w:hAnsiTheme="minorHAnsi" w:cstheme="minorHAnsi"/>
                <w:b w:val="0"/>
                <w:bCs w:val="0"/>
                <w:color w:val="auto"/>
                <w:sz w:val="22"/>
                <w:szCs w:val="22"/>
                <w:lang w:val="en-GB" w:eastAsia="zh-CN"/>
              </w:rPr>
            </w:pPr>
          </w:p>
        </w:tc>
      </w:tr>
      <w:tr w:rsidR="002E7E77" w:rsidRPr="008521B7" w14:paraId="5036AC8F" w14:textId="77777777" w:rsidTr="002917A4">
        <w:trPr>
          <w:jc w:val="center"/>
        </w:trPr>
        <w:tc>
          <w:tcPr>
            <w:tcW w:w="988" w:type="dxa"/>
            <w:vAlign w:val="center"/>
          </w:tcPr>
          <w:p w14:paraId="135AE5C0" w14:textId="595A14F4" w:rsidR="002E7E77" w:rsidRPr="008521B7" w:rsidRDefault="002E7E77" w:rsidP="00613FB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943" w:type="dxa"/>
            <w:vAlign w:val="center"/>
          </w:tcPr>
          <w:p w14:paraId="7D5FF58B" w14:textId="62C78965" w:rsidR="001B75FA" w:rsidRDefault="001B75FA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Quantitative asset allocation (including risk parity) </w:t>
            </w:r>
          </w:p>
          <w:p w14:paraId="104CF854" w14:textId="77777777" w:rsidR="001B75FA" w:rsidRDefault="001B75FA" w:rsidP="002E7E77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14:paraId="77F9FD1C" w14:textId="655BDD7D" w:rsidR="002E7E77" w:rsidRDefault="00961578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Volatility as an asset class </w:t>
            </w:r>
          </w:p>
          <w:p w14:paraId="036F8848" w14:textId="77777777" w:rsidR="002A4EEE" w:rsidRDefault="002A4EEE" w:rsidP="002E7E77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14:paraId="212CBB29" w14:textId="3068BACC" w:rsidR="006C3EAF" w:rsidRPr="008521B7" w:rsidRDefault="002A4EEE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Role of monetary and fiscal policies as macroeconomic stabilizers</w:t>
            </w:r>
            <w:r w:rsidR="006C3EAF">
              <w:rPr>
                <w:rFonts w:cstheme="minorHAnsi"/>
                <w:lang w:val="en-GB"/>
              </w:rPr>
              <w:t>; fiat versus non-fiat currencies:  store of value and liquidity</w:t>
            </w:r>
          </w:p>
        </w:tc>
      </w:tr>
      <w:tr w:rsidR="002A4EEE" w:rsidRPr="008521B7" w14:paraId="0B6EB237" w14:textId="77777777" w:rsidTr="002917A4">
        <w:trPr>
          <w:jc w:val="center"/>
        </w:trPr>
        <w:tc>
          <w:tcPr>
            <w:tcW w:w="988" w:type="dxa"/>
            <w:vAlign w:val="center"/>
          </w:tcPr>
          <w:p w14:paraId="2F65BB80" w14:textId="73F8EEF6" w:rsidR="002A4EEE" w:rsidRDefault="002A4EEE" w:rsidP="00613FB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943" w:type="dxa"/>
            <w:vAlign w:val="center"/>
          </w:tcPr>
          <w:p w14:paraId="5EE74AD8" w14:textId="7FF7346B" w:rsidR="002A4EEE" w:rsidRDefault="001B75FA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Futures curve carry</w:t>
            </w:r>
          </w:p>
          <w:p w14:paraId="2ED9FA4D" w14:textId="77777777" w:rsidR="001B75FA" w:rsidRDefault="001B75FA" w:rsidP="002E7E77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14:paraId="6CD6E727" w14:textId="10E36DC7" w:rsidR="001B75FA" w:rsidRDefault="001B75FA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Futures trend following (CTA)</w:t>
            </w:r>
          </w:p>
        </w:tc>
      </w:tr>
      <w:tr w:rsidR="002E7E77" w:rsidRPr="00433C68" w14:paraId="30EFA136" w14:textId="77777777" w:rsidTr="002917A4">
        <w:trPr>
          <w:jc w:val="center"/>
        </w:trPr>
        <w:tc>
          <w:tcPr>
            <w:tcW w:w="988" w:type="dxa"/>
            <w:vAlign w:val="center"/>
          </w:tcPr>
          <w:p w14:paraId="5C86BF71" w14:textId="3D29AA94" w:rsidR="002E7E77" w:rsidRPr="008521B7" w:rsidRDefault="001763B9" w:rsidP="00613FB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943" w:type="dxa"/>
            <w:vAlign w:val="center"/>
          </w:tcPr>
          <w:p w14:paraId="10708F85" w14:textId="2A849317" w:rsidR="002E7E77" w:rsidRDefault="000771D4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Execution:  po</w:t>
            </w:r>
            <w:r w:rsidR="002E7E77">
              <w:rPr>
                <w:rFonts w:cstheme="minorHAnsi"/>
                <w:lang w:val="en-GB"/>
              </w:rPr>
              <w:t xml:space="preserve">rtfolio construction, </w:t>
            </w:r>
            <w:r w:rsidR="00824479">
              <w:rPr>
                <w:rFonts w:cstheme="minorHAnsi"/>
                <w:lang w:val="en-GB"/>
              </w:rPr>
              <w:t>e</w:t>
            </w:r>
            <w:r w:rsidR="002E7E77" w:rsidRPr="008521B7">
              <w:rPr>
                <w:rFonts w:cstheme="minorHAnsi"/>
                <w:lang w:val="en-GB"/>
              </w:rPr>
              <w:t>xecution costs, market impact, slippage and strategy capacity</w:t>
            </w:r>
          </w:p>
          <w:p w14:paraId="0293EDC4" w14:textId="77777777" w:rsidR="002E7E77" w:rsidRDefault="002E7E77" w:rsidP="002E7E77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14:paraId="386B358E" w14:textId="7E8109F8" w:rsidR="002E7E77" w:rsidRPr="008521B7" w:rsidRDefault="006C3EAF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Trading ecosystem:  hedge funds, prime brokers, exchange / ECNs, emergent market microstructure and implications for trading costs, capacity and execution quality</w:t>
            </w:r>
          </w:p>
        </w:tc>
      </w:tr>
      <w:tr w:rsidR="002E7E77" w:rsidRPr="00433C68" w14:paraId="1BACD937" w14:textId="77777777" w:rsidTr="002917A4">
        <w:trPr>
          <w:jc w:val="center"/>
        </w:trPr>
        <w:tc>
          <w:tcPr>
            <w:tcW w:w="988" w:type="dxa"/>
            <w:vAlign w:val="center"/>
          </w:tcPr>
          <w:p w14:paraId="71404064" w14:textId="47A4768B" w:rsidR="002E7E77" w:rsidRDefault="001763B9" w:rsidP="00613FB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943" w:type="dxa"/>
            <w:vAlign w:val="center"/>
          </w:tcPr>
          <w:p w14:paraId="4ED9A6E7" w14:textId="77777777" w:rsidR="002E7E77" w:rsidRDefault="009019D1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Infrastructure dependent strategies (including high frequency trading)</w:t>
            </w:r>
          </w:p>
          <w:p w14:paraId="77E867A4" w14:textId="6259CE45" w:rsidR="009019D1" w:rsidRDefault="009019D1" w:rsidP="002E7E77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14:paraId="25533241" w14:textId="77777777" w:rsidR="009019D1" w:rsidRDefault="009019D1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Trends in alternative data</w:t>
            </w:r>
          </w:p>
          <w:p w14:paraId="51085E35" w14:textId="77777777" w:rsidR="00C75250" w:rsidRDefault="00C75250" w:rsidP="002E7E77">
            <w:pPr>
              <w:spacing w:after="0" w:line="240" w:lineRule="auto"/>
              <w:rPr>
                <w:rFonts w:cstheme="minorHAnsi"/>
                <w:lang w:val="en-GB"/>
              </w:rPr>
            </w:pPr>
          </w:p>
          <w:p w14:paraId="48F338A2" w14:textId="78584867" w:rsidR="00C75250" w:rsidRPr="008521B7" w:rsidRDefault="00C75250" w:rsidP="002E7E77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Legal structuring for the systematic investment industry:  fund management companies, funds, regulators, taxes, jurisdictions, </w:t>
            </w:r>
            <w:r w:rsidR="004B0DAA">
              <w:rPr>
                <w:rFonts w:cstheme="minorHAnsi"/>
                <w:lang w:val="en-GB"/>
              </w:rPr>
              <w:t>and service providers</w:t>
            </w:r>
          </w:p>
        </w:tc>
      </w:tr>
      <w:tr w:rsidR="001763B9" w:rsidRPr="001763B9" w14:paraId="291C0729" w14:textId="77777777" w:rsidTr="00CB5E69">
        <w:trPr>
          <w:jc w:val="center"/>
        </w:trPr>
        <w:tc>
          <w:tcPr>
            <w:tcW w:w="988" w:type="dxa"/>
            <w:vAlign w:val="center"/>
          </w:tcPr>
          <w:p w14:paraId="22190553" w14:textId="53B58EAC" w:rsidR="001763B9" w:rsidRPr="001763B9" w:rsidRDefault="001763B9" w:rsidP="00CB5E69">
            <w:pPr>
              <w:spacing w:after="0" w:line="240" w:lineRule="auto"/>
              <w:jc w:val="center"/>
              <w:rPr>
                <w:rFonts w:cstheme="minorHAnsi"/>
              </w:rPr>
            </w:pPr>
            <w:r w:rsidRPr="001763B9">
              <w:rPr>
                <w:rFonts w:cstheme="minorHAnsi"/>
              </w:rPr>
              <w:t>10</w:t>
            </w:r>
          </w:p>
        </w:tc>
        <w:tc>
          <w:tcPr>
            <w:tcW w:w="7943" w:type="dxa"/>
            <w:vAlign w:val="center"/>
          </w:tcPr>
          <w:p w14:paraId="34EDFD52" w14:textId="67DC8FFD" w:rsidR="001763B9" w:rsidRPr="001763B9" w:rsidRDefault="001763B9" w:rsidP="00CB5E69">
            <w:pPr>
              <w:spacing w:after="0" w:line="240" w:lineRule="auto"/>
              <w:rPr>
                <w:rFonts w:cstheme="minorHAnsi"/>
                <w:lang w:val="en-GB"/>
              </w:rPr>
            </w:pPr>
            <w:r w:rsidRPr="001763B9">
              <w:rPr>
                <w:rFonts w:cstheme="minorHAnsi"/>
                <w:lang w:val="en-GB"/>
              </w:rPr>
              <w:t xml:space="preserve">Student presentations  </w:t>
            </w:r>
          </w:p>
        </w:tc>
      </w:tr>
    </w:tbl>
    <w:p w14:paraId="39167367" w14:textId="1CF088E1" w:rsidR="00D450DB" w:rsidRDefault="00D450DB" w:rsidP="00D450DB">
      <w:pPr>
        <w:spacing w:after="0" w:line="240" w:lineRule="auto"/>
        <w:rPr>
          <w:rFonts w:cstheme="minorHAnsi"/>
        </w:rPr>
      </w:pPr>
    </w:p>
    <w:sectPr w:rsidR="00D450DB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29714" w14:textId="77777777" w:rsidR="009D5F7A" w:rsidRDefault="009D5F7A" w:rsidP="00802D46">
      <w:pPr>
        <w:spacing w:after="0" w:line="240" w:lineRule="auto"/>
      </w:pPr>
      <w:r>
        <w:separator/>
      </w:r>
    </w:p>
  </w:endnote>
  <w:endnote w:type="continuationSeparator" w:id="0">
    <w:p w14:paraId="7FF72379" w14:textId="77777777" w:rsidR="009D5F7A" w:rsidRDefault="009D5F7A" w:rsidP="0080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531BC" w14:textId="77777777" w:rsidR="009D5F7A" w:rsidRDefault="009D5F7A" w:rsidP="00802D46">
      <w:pPr>
        <w:spacing w:after="0" w:line="240" w:lineRule="auto"/>
      </w:pPr>
      <w:r>
        <w:separator/>
      </w:r>
    </w:p>
  </w:footnote>
  <w:footnote w:type="continuationSeparator" w:id="0">
    <w:p w14:paraId="6AC19C51" w14:textId="77777777" w:rsidR="009D5F7A" w:rsidRDefault="009D5F7A" w:rsidP="00802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2"/>
      <w:gridCol w:w="5364"/>
    </w:tblGrid>
    <w:tr w:rsidR="00D572AF" w:rsidRPr="009C12F6" w14:paraId="4F2AB6D7" w14:textId="77777777" w:rsidTr="00C01A86">
      <w:trPr>
        <w:jc w:val="center"/>
      </w:trPr>
      <w:tc>
        <w:tcPr>
          <w:tcW w:w="3696" w:type="dxa"/>
        </w:tcPr>
        <w:p w14:paraId="3F35F654" w14:textId="77777777" w:rsidR="00D572AF" w:rsidRPr="009C12F6" w:rsidRDefault="00D572AF" w:rsidP="00AD5ADA">
          <w:pPr>
            <w:rPr>
              <w:rFonts w:ascii="Calibri" w:eastAsia="SimSun" w:hAnsi="Calibri" w:cs="Times New Roman"/>
            </w:rPr>
          </w:pPr>
          <w:r w:rsidRPr="009C12F6">
            <w:rPr>
              <w:rFonts w:ascii="Calibri" w:eastAsia="SimSun" w:hAnsi="Calibri" w:cs="Times New Roman"/>
              <w:noProof/>
              <w:lang w:eastAsia="en-SG"/>
            </w:rPr>
            <w:drawing>
              <wp:inline distT="0" distB="0" distL="0" distR="0" wp14:anchorId="6C89E576" wp14:editId="0134E1B9">
                <wp:extent cx="1895475" cy="1263650"/>
                <wp:effectExtent l="0" t="0" r="9525" b="0"/>
                <wp:docPr id="3" name="Picture 3" descr="F:\Corporate Comm\Master Programme\Logos\SMU Master\SMU_Master_Horz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Corporate Comm\Master Programme\Logos\SMU Master\SMU_Master_Horz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6" w:type="dxa"/>
          <w:shd w:val="clear" w:color="auto" w:fill="auto"/>
          <w:vAlign w:val="center"/>
        </w:tcPr>
        <w:p w14:paraId="1437D16E" w14:textId="15438084" w:rsidR="00D572AF" w:rsidRPr="00C01A86" w:rsidRDefault="00D572AF" w:rsidP="00AD5ADA">
          <w:pPr>
            <w:jc w:val="center"/>
            <w:rPr>
              <w:rFonts w:ascii="Calibri" w:eastAsia="SimSun" w:hAnsi="Calibri" w:cs="Times New Roman"/>
              <w:b/>
              <w:sz w:val="32"/>
              <w:szCs w:val="32"/>
            </w:rPr>
          </w:pPr>
          <w:r w:rsidRPr="00C01A86">
            <w:rPr>
              <w:rFonts w:ascii="Calibri" w:eastAsia="SimSun" w:hAnsi="Calibri" w:cs="Times New Roman"/>
              <w:b/>
              <w:sz w:val="32"/>
              <w:szCs w:val="32"/>
            </w:rPr>
            <w:t xml:space="preserve">Master of </w:t>
          </w:r>
          <w:r w:rsidR="00B0429B">
            <w:rPr>
              <w:rFonts w:ascii="Calibri" w:eastAsia="SimSun" w:hAnsi="Calibri" w:cs="Times New Roman"/>
              <w:b/>
              <w:sz w:val="32"/>
              <w:szCs w:val="32"/>
            </w:rPr>
            <w:t>Quantitative</w:t>
          </w:r>
          <w:r w:rsidR="001519BA" w:rsidRPr="00C01A86">
            <w:rPr>
              <w:rFonts w:ascii="Calibri" w:eastAsia="SimSun" w:hAnsi="Calibri" w:cs="Times New Roman"/>
              <w:b/>
              <w:sz w:val="32"/>
              <w:szCs w:val="32"/>
            </w:rPr>
            <w:t xml:space="preserve"> Finance</w:t>
          </w:r>
        </w:p>
        <w:p w14:paraId="3C6A256E" w14:textId="59E16187" w:rsidR="000C0F01" w:rsidRPr="004A264E" w:rsidRDefault="006C1D76" w:rsidP="000C0F01">
          <w:pPr>
            <w:jc w:val="center"/>
            <w:rPr>
              <w:rFonts w:ascii="Calibri" w:eastAsia="SimSun" w:hAnsi="Calibri" w:cs="Times New Roman"/>
              <w:b/>
              <w:sz w:val="32"/>
              <w:szCs w:val="32"/>
            </w:rPr>
          </w:pPr>
          <w:r w:rsidRPr="00C01A86">
            <w:rPr>
              <w:rFonts w:ascii="Calibri" w:eastAsia="SimSun" w:hAnsi="Calibri" w:cs="Times New Roman"/>
              <w:b/>
              <w:sz w:val="32"/>
              <w:szCs w:val="32"/>
            </w:rPr>
            <w:t xml:space="preserve">Class of </w:t>
          </w:r>
          <w:r w:rsidR="00A31AEC" w:rsidRPr="00C01A86">
            <w:rPr>
              <w:rFonts w:ascii="Calibri" w:eastAsia="SimSun" w:hAnsi="Calibri" w:cs="Times New Roman"/>
              <w:b/>
              <w:sz w:val="32"/>
              <w:szCs w:val="32"/>
            </w:rPr>
            <w:t>202</w:t>
          </w:r>
          <w:r w:rsidR="000C0F01">
            <w:rPr>
              <w:rFonts w:ascii="Calibri" w:eastAsia="SimSun" w:hAnsi="Calibri" w:cs="Times New Roman"/>
              <w:b/>
              <w:sz w:val="32"/>
              <w:szCs w:val="32"/>
            </w:rPr>
            <w:t>5</w:t>
          </w:r>
        </w:p>
      </w:tc>
    </w:tr>
  </w:tbl>
  <w:p w14:paraId="34B533B1" w14:textId="7B3F45FE" w:rsidR="00D572AF" w:rsidRDefault="00177006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6D296B" wp14:editId="21BD58D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63e94fd3891194b7cc1dd59b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0A36B1" w14:textId="1880094A" w:rsidR="00177006" w:rsidRPr="00177006" w:rsidRDefault="00177006" w:rsidP="001770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177006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6D296B" id="_x0000_t202" coordsize="21600,21600" o:spt="202" path="m,l,21600r21600,l21600,xe">
              <v:stroke joinstyle="miter"/>
              <v:path gradientshapeok="t" o:connecttype="rect"/>
            </v:shapetype>
            <v:shape id="MSIPCM63e94fd3891194b7cc1dd59b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550A36B1" w14:textId="1880094A" w:rsidR="00177006" w:rsidRPr="00177006" w:rsidRDefault="00177006" w:rsidP="001770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177006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B6AFF"/>
    <w:multiLevelType w:val="hybridMultilevel"/>
    <w:tmpl w:val="85DCAB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7199B"/>
    <w:multiLevelType w:val="hybridMultilevel"/>
    <w:tmpl w:val="FD5C4A48"/>
    <w:lvl w:ilvl="0" w:tplc="BFF6B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52B3A"/>
    <w:multiLevelType w:val="hybridMultilevel"/>
    <w:tmpl w:val="F23A6548"/>
    <w:lvl w:ilvl="0" w:tplc="A5B0FE4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012292854">
    <w:abstractNumId w:val="2"/>
  </w:num>
  <w:num w:numId="2" w16cid:durableId="2111316617">
    <w:abstractNumId w:val="1"/>
  </w:num>
  <w:num w:numId="3" w16cid:durableId="96273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46"/>
    <w:rsid w:val="00006A57"/>
    <w:rsid w:val="00007760"/>
    <w:rsid w:val="00007CF8"/>
    <w:rsid w:val="00022BFE"/>
    <w:rsid w:val="000248B0"/>
    <w:rsid w:val="00030AA2"/>
    <w:rsid w:val="0004376F"/>
    <w:rsid w:val="000573F8"/>
    <w:rsid w:val="000771D4"/>
    <w:rsid w:val="00085C41"/>
    <w:rsid w:val="000B1511"/>
    <w:rsid w:val="000B6DDA"/>
    <w:rsid w:val="000C0F01"/>
    <w:rsid w:val="000C5392"/>
    <w:rsid w:val="00101401"/>
    <w:rsid w:val="00104EBC"/>
    <w:rsid w:val="00117C00"/>
    <w:rsid w:val="00137FFB"/>
    <w:rsid w:val="00141C26"/>
    <w:rsid w:val="001519BA"/>
    <w:rsid w:val="00154B38"/>
    <w:rsid w:val="001604A5"/>
    <w:rsid w:val="001763B9"/>
    <w:rsid w:val="00176619"/>
    <w:rsid w:val="00177006"/>
    <w:rsid w:val="00184ED3"/>
    <w:rsid w:val="00194EE6"/>
    <w:rsid w:val="0019632B"/>
    <w:rsid w:val="001963D6"/>
    <w:rsid w:val="001B1997"/>
    <w:rsid w:val="001B75FA"/>
    <w:rsid w:val="001B76D2"/>
    <w:rsid w:val="001C3C81"/>
    <w:rsid w:val="001D1807"/>
    <w:rsid w:val="001D5342"/>
    <w:rsid w:val="001E688D"/>
    <w:rsid w:val="001E75FA"/>
    <w:rsid w:val="001F3BA6"/>
    <w:rsid w:val="00243048"/>
    <w:rsid w:val="00253FFA"/>
    <w:rsid w:val="0026537E"/>
    <w:rsid w:val="00266CF4"/>
    <w:rsid w:val="0027239B"/>
    <w:rsid w:val="00275940"/>
    <w:rsid w:val="002845BA"/>
    <w:rsid w:val="002917A4"/>
    <w:rsid w:val="002A4EEE"/>
    <w:rsid w:val="002A7B66"/>
    <w:rsid w:val="002B2C4B"/>
    <w:rsid w:val="002C1489"/>
    <w:rsid w:val="002C5D20"/>
    <w:rsid w:val="002D5C43"/>
    <w:rsid w:val="002D60DF"/>
    <w:rsid w:val="002E7E77"/>
    <w:rsid w:val="00304B1F"/>
    <w:rsid w:val="00346019"/>
    <w:rsid w:val="00346620"/>
    <w:rsid w:val="0035174D"/>
    <w:rsid w:val="00365305"/>
    <w:rsid w:val="00371F97"/>
    <w:rsid w:val="00390982"/>
    <w:rsid w:val="003B59A5"/>
    <w:rsid w:val="003C17FA"/>
    <w:rsid w:val="003D0F15"/>
    <w:rsid w:val="003E3BD0"/>
    <w:rsid w:val="003E6B4A"/>
    <w:rsid w:val="003F1DB1"/>
    <w:rsid w:val="003F6423"/>
    <w:rsid w:val="00424556"/>
    <w:rsid w:val="0042662E"/>
    <w:rsid w:val="00433C68"/>
    <w:rsid w:val="004362DB"/>
    <w:rsid w:val="00450540"/>
    <w:rsid w:val="004751EB"/>
    <w:rsid w:val="004A264E"/>
    <w:rsid w:val="004A3390"/>
    <w:rsid w:val="004B0DAA"/>
    <w:rsid w:val="005253D4"/>
    <w:rsid w:val="00533D37"/>
    <w:rsid w:val="00543460"/>
    <w:rsid w:val="00580B23"/>
    <w:rsid w:val="00593798"/>
    <w:rsid w:val="00596CAB"/>
    <w:rsid w:val="005A00F1"/>
    <w:rsid w:val="005C291D"/>
    <w:rsid w:val="005D4245"/>
    <w:rsid w:val="005E7AD6"/>
    <w:rsid w:val="0061102A"/>
    <w:rsid w:val="00613FB5"/>
    <w:rsid w:val="006231C2"/>
    <w:rsid w:val="00636EB7"/>
    <w:rsid w:val="006738F8"/>
    <w:rsid w:val="00687542"/>
    <w:rsid w:val="0069398B"/>
    <w:rsid w:val="00697F6E"/>
    <w:rsid w:val="006B02BA"/>
    <w:rsid w:val="006C1D76"/>
    <w:rsid w:val="006C3EAF"/>
    <w:rsid w:val="006D2236"/>
    <w:rsid w:val="00701658"/>
    <w:rsid w:val="00704396"/>
    <w:rsid w:val="00721EC6"/>
    <w:rsid w:val="0073003A"/>
    <w:rsid w:val="00772851"/>
    <w:rsid w:val="00791C87"/>
    <w:rsid w:val="00793310"/>
    <w:rsid w:val="00797D8B"/>
    <w:rsid w:val="007A3885"/>
    <w:rsid w:val="007C085C"/>
    <w:rsid w:val="007C7A4C"/>
    <w:rsid w:val="007D2193"/>
    <w:rsid w:val="007D2AC4"/>
    <w:rsid w:val="007E7291"/>
    <w:rsid w:val="00802D46"/>
    <w:rsid w:val="00824479"/>
    <w:rsid w:val="00834DD2"/>
    <w:rsid w:val="00834FC4"/>
    <w:rsid w:val="0084051A"/>
    <w:rsid w:val="00851992"/>
    <w:rsid w:val="008521B7"/>
    <w:rsid w:val="00887491"/>
    <w:rsid w:val="008969B1"/>
    <w:rsid w:val="008A0183"/>
    <w:rsid w:val="008C6680"/>
    <w:rsid w:val="008D2868"/>
    <w:rsid w:val="008E3B5E"/>
    <w:rsid w:val="008F4D87"/>
    <w:rsid w:val="009019D1"/>
    <w:rsid w:val="00910C45"/>
    <w:rsid w:val="00923D6B"/>
    <w:rsid w:val="009568A1"/>
    <w:rsid w:val="00961578"/>
    <w:rsid w:val="0099028B"/>
    <w:rsid w:val="009C0965"/>
    <w:rsid w:val="009D5F7A"/>
    <w:rsid w:val="009E46C7"/>
    <w:rsid w:val="009F1786"/>
    <w:rsid w:val="00A04B7A"/>
    <w:rsid w:val="00A2111F"/>
    <w:rsid w:val="00A31AEC"/>
    <w:rsid w:val="00A5191D"/>
    <w:rsid w:val="00A5195F"/>
    <w:rsid w:val="00A526C7"/>
    <w:rsid w:val="00A66BE7"/>
    <w:rsid w:val="00A706A9"/>
    <w:rsid w:val="00A8018B"/>
    <w:rsid w:val="00A91336"/>
    <w:rsid w:val="00AA06AF"/>
    <w:rsid w:val="00AB3F1F"/>
    <w:rsid w:val="00AD0C63"/>
    <w:rsid w:val="00AD5ADA"/>
    <w:rsid w:val="00AD73D8"/>
    <w:rsid w:val="00AE3094"/>
    <w:rsid w:val="00B0429B"/>
    <w:rsid w:val="00B047F1"/>
    <w:rsid w:val="00B15C18"/>
    <w:rsid w:val="00B471E1"/>
    <w:rsid w:val="00B54CDA"/>
    <w:rsid w:val="00BC17BF"/>
    <w:rsid w:val="00BC7D7C"/>
    <w:rsid w:val="00BD250C"/>
    <w:rsid w:val="00BD5A09"/>
    <w:rsid w:val="00BD6E06"/>
    <w:rsid w:val="00BE2CD6"/>
    <w:rsid w:val="00C01A86"/>
    <w:rsid w:val="00C07B9F"/>
    <w:rsid w:val="00C21909"/>
    <w:rsid w:val="00C43ABA"/>
    <w:rsid w:val="00C663A7"/>
    <w:rsid w:val="00C734F7"/>
    <w:rsid w:val="00C75250"/>
    <w:rsid w:val="00C97AB6"/>
    <w:rsid w:val="00CF3368"/>
    <w:rsid w:val="00D125AB"/>
    <w:rsid w:val="00D268A8"/>
    <w:rsid w:val="00D450DB"/>
    <w:rsid w:val="00D52DFA"/>
    <w:rsid w:val="00D543FE"/>
    <w:rsid w:val="00D572AF"/>
    <w:rsid w:val="00D65346"/>
    <w:rsid w:val="00D97756"/>
    <w:rsid w:val="00DB180E"/>
    <w:rsid w:val="00DB1894"/>
    <w:rsid w:val="00DC06E3"/>
    <w:rsid w:val="00DC2A5F"/>
    <w:rsid w:val="00DF7ACD"/>
    <w:rsid w:val="00E050E5"/>
    <w:rsid w:val="00E10DAA"/>
    <w:rsid w:val="00E12F4F"/>
    <w:rsid w:val="00E24B85"/>
    <w:rsid w:val="00E7380E"/>
    <w:rsid w:val="00E87521"/>
    <w:rsid w:val="00EB19C1"/>
    <w:rsid w:val="00EC78FE"/>
    <w:rsid w:val="00ED5C2E"/>
    <w:rsid w:val="00ED7B49"/>
    <w:rsid w:val="00EE563E"/>
    <w:rsid w:val="00EF09DE"/>
    <w:rsid w:val="00F04E1D"/>
    <w:rsid w:val="00F06704"/>
    <w:rsid w:val="00F30119"/>
    <w:rsid w:val="00F402F5"/>
    <w:rsid w:val="00F47110"/>
    <w:rsid w:val="00F6469F"/>
    <w:rsid w:val="00F8118A"/>
    <w:rsid w:val="00F820C2"/>
    <w:rsid w:val="00FD2267"/>
    <w:rsid w:val="00FF61DB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BE79"/>
  <w15:docId w15:val="{7ADF6257-3F9D-408D-BA5D-60A9A361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AD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0D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0DB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D46"/>
  </w:style>
  <w:style w:type="paragraph" w:styleId="Footer">
    <w:name w:val="footer"/>
    <w:basedOn w:val="Normal"/>
    <w:link w:val="FooterChar"/>
    <w:uiPriority w:val="99"/>
    <w:unhideWhenUsed/>
    <w:rsid w:val="00802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46"/>
  </w:style>
  <w:style w:type="table" w:styleId="TableGrid">
    <w:name w:val="Table Grid"/>
    <w:basedOn w:val="TableNormal"/>
    <w:uiPriority w:val="59"/>
    <w:rsid w:val="00802D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2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D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5A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5A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  <w:rsid w:val="00141C26"/>
  </w:style>
  <w:style w:type="character" w:customStyle="1" w:styleId="Heading2Char">
    <w:name w:val="Heading 2 Char"/>
    <w:basedOn w:val="DefaultParagraphFont"/>
    <w:link w:val="Heading2"/>
    <w:uiPriority w:val="9"/>
    <w:rsid w:val="00D45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0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paragraph" w:customStyle="1" w:styleId="Normal11pt">
    <w:name w:val="Normal + 11 pt"/>
    <w:basedOn w:val="Normal"/>
    <w:rsid w:val="00D450DB"/>
    <w:pPr>
      <w:tabs>
        <w:tab w:val="left" w:pos="-720"/>
      </w:tabs>
      <w:suppressAutoHyphens/>
      <w:spacing w:after="0" w:line="240" w:lineRule="auto"/>
    </w:pPr>
    <w:rPr>
      <w:rFonts w:ascii="Times New Roman" w:eastAsia="SimSun" w:hAnsi="Times New Roman" w:cs="Times New Roman"/>
      <w:spacing w:val="-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1D7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5C4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E10DAA"/>
    <w:rPr>
      <w:i/>
      <w:iCs/>
    </w:rPr>
  </w:style>
  <w:style w:type="paragraph" w:styleId="ListParagraph">
    <w:name w:val="List Paragraph"/>
    <w:basedOn w:val="Normal"/>
    <w:uiPriority w:val="34"/>
    <w:qFormat/>
    <w:rsid w:val="00543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Jason_Hsu8/publication/228206016_Risk_Parity_Portfolio_vs_Other_Asset_Allocation_Heuristic_Portfolios/links/00b7d532848224ae2d000000/Risk-Parity-Portfolio-vs-Other-Asset-Allocation-Heuristic-Portfolios.pdf" TargetMode="Externa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https://ssrn.com/abstract=55866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E5CD-A3A1-4477-B175-985BC7C56CF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Privilege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Benjamin Ee</cp:lastModifiedBy>
  <cp:revision>4</cp:revision>
  <dcterms:created xsi:type="dcterms:W3CDTF">2022-02-07T09:06:00Z</dcterms:created>
  <dcterms:modified xsi:type="dcterms:W3CDTF">2025-02-10T04:57:00Z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Owner">
    <vt:lpwstr>traicerlai@smu.edu.sg</vt:lpwstr>
  </property>
  <property fmtid="{D5CDD505-2E9C-101B-9397-08002B2CF9AE}" pid="6" name="MSIP_Label_6951d41b-6b8e-4636-984f-012bff14ba18_SetDate">
    <vt:lpwstr>2018-05-08T13:53:51.0866123+08:00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