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5BB" w:rsidRPr="00AE5D54" w:rsidRDefault="003A00F5" w:rsidP="00AE5D54">
      <w:pPr>
        <w:jc w:val="center"/>
        <w:rPr>
          <w:rFonts w:asciiTheme="majorHAnsi" w:hAnsiTheme="majorHAnsi"/>
          <w:b/>
          <w:sz w:val="26"/>
          <w:szCs w:val="26"/>
          <w:u w:val="single"/>
        </w:rPr>
      </w:pPr>
      <w:bookmarkStart w:id="0" w:name="_GoBack"/>
      <w:bookmarkEnd w:id="0"/>
      <w:r w:rsidRPr="00AE5D54">
        <w:rPr>
          <w:rFonts w:asciiTheme="majorHAnsi" w:hAnsiTheme="majorHAnsi"/>
          <w:b/>
          <w:sz w:val="26"/>
          <w:szCs w:val="26"/>
          <w:u w:val="single"/>
        </w:rPr>
        <w:t>PROFILE – LAWYER KWAME BOATENG</w:t>
      </w:r>
    </w:p>
    <w:p w:rsidR="003A00F5" w:rsidRPr="00AE5D54" w:rsidRDefault="00E07BB4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Lawyer </w:t>
      </w:r>
      <w:r w:rsidR="003A00F5" w:rsidRPr="00AE5D54">
        <w:rPr>
          <w:rFonts w:asciiTheme="majorHAnsi" w:hAnsiTheme="majorHAnsi"/>
          <w:sz w:val="26"/>
          <w:szCs w:val="26"/>
        </w:rPr>
        <w:t>Kwame</w:t>
      </w:r>
      <w:r>
        <w:rPr>
          <w:rFonts w:asciiTheme="majorHAnsi" w:hAnsiTheme="majorHAnsi"/>
          <w:sz w:val="26"/>
          <w:szCs w:val="26"/>
        </w:rPr>
        <w:t xml:space="preserve"> Boateng</w:t>
      </w:r>
      <w:r w:rsidR="003A00F5" w:rsidRPr="00AE5D54">
        <w:rPr>
          <w:rFonts w:asciiTheme="majorHAnsi" w:hAnsiTheme="majorHAnsi"/>
          <w:sz w:val="26"/>
          <w:szCs w:val="26"/>
        </w:rPr>
        <w:t xml:space="preserve"> is a graduate of the University of Ghana and the Ghana Law School. He is a seasoned Management Consultant and a qualified Barrister in Ghana. Currently, he is also the Managing Partner and Chief Executive Officer of K’ Archy Law Consult. He brings to the Board required Legal and Corporate / Strategic depth and scope. </w:t>
      </w:r>
    </w:p>
    <w:p w:rsidR="003A00F5" w:rsidRPr="00AE5D54" w:rsidRDefault="003A00F5">
      <w:pPr>
        <w:rPr>
          <w:rFonts w:asciiTheme="majorHAnsi" w:hAnsiTheme="majorHAnsi"/>
          <w:sz w:val="26"/>
          <w:szCs w:val="26"/>
        </w:rPr>
      </w:pPr>
      <w:r w:rsidRPr="00AE5D54">
        <w:rPr>
          <w:rFonts w:asciiTheme="majorHAnsi" w:hAnsiTheme="majorHAnsi"/>
          <w:sz w:val="26"/>
          <w:szCs w:val="26"/>
        </w:rPr>
        <w:t xml:space="preserve">Kwame’s area of expertise and practice include mergers and acquisitions, commercial arbitration and compliance. He also doubles as the Company’s secretary and Group Counsel General. </w:t>
      </w:r>
    </w:p>
    <w:sectPr w:rsidR="003A00F5" w:rsidRPr="00AE5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0F5"/>
    <w:rsid w:val="00327FFB"/>
    <w:rsid w:val="003A00F5"/>
    <w:rsid w:val="005055BB"/>
    <w:rsid w:val="00AE5D54"/>
    <w:rsid w:val="00E07BB4"/>
    <w:rsid w:val="00F4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nuamah</dc:creator>
  <cp:lastModifiedBy>Kwame Nsiah-Poku</cp:lastModifiedBy>
  <cp:revision>2</cp:revision>
  <dcterms:created xsi:type="dcterms:W3CDTF">2014-05-08T14:20:00Z</dcterms:created>
  <dcterms:modified xsi:type="dcterms:W3CDTF">2014-05-08T14:20:00Z</dcterms:modified>
</cp:coreProperties>
</file>