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Black-Litterman Credit Optimiser</w:t>
      </w:r>
    </w:p>
    <w:p>
      <w:pPr>
        <w:spacing w:after="100"/>
        <w:jc w:val="center"/>
      </w:pPr>
      <w:r>
        <w:rPr>
          <w:rFonts w:ascii="Arial" w:cs="Arial" w:eastAsia="Arial" w:hAnsi="Arial"/>
          <w:color w:val="5D6D7E"/>
          <w:sz w:val="32"/>
          <w:szCs w:val="32"/>
        </w:rPr>
        <w:t xml:space="preserve">Technical Documentation</w:t>
      </w:r>
    </w:p>
    <w:p>
      <w:pPr>
        <w:pBdr>
          <w:bottom w:val="single" w:color="AED6F1" w:sz="6" w:space="1"/>
        </w:pBdr>
        <w:spacing w:after="600"/>
        <w:jc w:val="center"/>
      </w:pPr>
      <w:r>
        <w:rPr>
          <w:rFonts w:ascii="Arial" w:cs="Arial" w:eastAsia="Arial" w:hAnsi="Arial"/>
          <w:i/>
          <w:iCs/>
          <w:color w:val="7F8C8D"/>
          <w:sz w:val="24"/>
          <w:szCs w:val="24"/>
        </w:rPr>
        <w:t xml:space="preserve">A complete guide to the architecture, maths, and code</w:t>
      </w:r>
    </w:p>
    <w:p>
      <w:pPr>
        <w:spacing w:before="1200"/>
      </w:pPr>
    </w:p>
    <w:p>
      <w:pPr>
        <w:jc w:val="center"/>
      </w:pPr>
      <w:r>
        <w:rPr>
          <w:rFonts w:ascii="Arial" w:cs="Arial" w:eastAsia="Arial" w:hAnsi="Arial"/>
          <w:color w:val="5D6D7E"/>
          <w:sz w:val="24"/>
          <w:szCs w:val="24"/>
        </w:rPr>
        <w:t xml:space="preserve">Investment Grade Corporate Bond Portfolio Optimisation</w:t>
      </w:r>
    </w:p>
    <w:p>
      <w:pPr>
        <w:spacing w:before="200"/>
        <w:jc w:val="center"/>
      </w:pPr>
      <w:r>
        <w:rPr>
          <w:rFonts w:ascii="Arial" w:cs="Arial" w:eastAsia="Arial" w:hAnsi="Arial"/>
          <w:color w:val="95A5A6"/>
          <w:sz w:val="22"/>
          <w:szCs w:val="22"/>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What This Project Does</w:t>
      </w:r>
    </w:p>
    <w:p>
      <w:pPr>
        <w:spacing w:after="120" w:line="276"/>
      </w:pPr>
      <w:r>
        <w:rPr>
          <w:rFonts w:ascii="Arial" w:cs="Arial" w:eastAsia="Arial" w:hAnsi="Arial"/>
          <w:sz w:val="22"/>
          <w:szCs w:val="22"/>
        </w:rPr>
        <w:t xml:space="preserve">This application helps portfolio managers optimise a portfolio of </w:t>
      </w:r>
      <w:r>
        <w:rPr>
          <w:rFonts w:ascii="Arial" w:cs="Arial" w:eastAsia="Arial" w:hAnsi="Arial"/>
          <w:b/>
          <w:bCs/>
          <w:sz w:val="22"/>
          <w:szCs w:val="22"/>
        </w:rPr>
        <w:t xml:space="preserve">investment-grade corporate bonds</w:t>
      </w:r>
      <w:r>
        <w:rPr>
          <w:rFonts w:ascii="Arial" w:cs="Arial" w:eastAsia="Arial" w:hAnsi="Arial"/>
          <w:sz w:val="22"/>
          <w:szCs w:val="22"/>
        </w:rPr>
        <w:t xml:space="preserve"> using the </w:t>
      </w:r>
      <w:r>
        <w:rPr>
          <w:rFonts w:ascii="Arial" w:cs="Arial" w:eastAsia="Arial" w:hAnsi="Arial"/>
          <w:b/>
          <w:bCs/>
          <w:sz w:val="22"/>
          <w:szCs w:val="22"/>
        </w:rPr>
        <w:t xml:space="preserve">Black-Litterman (BL) model</w:t>
      </w:r>
      <w:r>
        <w:rPr>
          <w:rFonts w:ascii="Arial" w:cs="Arial" w:eastAsia="Arial" w:hAnsi="Arial"/>
          <w:sz w:val="22"/>
          <w:szCs w:val="22"/>
        </w:rPr>
        <w:t xml:space="preserve">. In plain terms: given a set of bonds and the manager’s views on which bonds will outperform, the system calculates the best allocation that balances return against risk.</w:t>
      </w:r>
    </w:p>
    <w:p>
      <w:pPr>
        <w:spacing w:after="120" w:line="276"/>
      </w:pPr>
      <w:r>
        <w:rPr>
          <w:rFonts w:ascii="Arial" w:cs="Arial" w:eastAsia="Arial" w:hAnsi="Arial"/>
          <w:sz w:val="22"/>
          <w:szCs w:val="22"/>
        </w:rPr>
        <w:t xml:space="preserve">The tool runs in a web browser. Behind the scenes, a Python backend does the heavy number-crunching (optimisation, Monte Carlo simulations), while a React frontend provides the interactive charts and tables. If the backend is unavailable, a simplified JavaScript engine in the browser can still run the calculations.</w:t>
      </w:r>
    </w:p>
    <w:p>
      <w:pPr>
        <w:pStyle w:val="Heading2"/>
        <w:spacing w:after="150" w:before="300"/>
      </w:pPr>
      <w:r>
        <w:t xml:space="preserve">Key Capabilities</w:t>
      </w:r>
    </w:p>
    <w:p>
      <w:pPr>
        <w:pStyle w:val="ListParagraph"/>
        <w:numPr>
          <w:ilvl w:val="0"/>
          <w:numId w:val="2"/>
        </w:numPr>
        <w:spacing w:after="60" w:line="276"/>
      </w:pPr>
      <w:r>
        <w:rPr>
          <w:rFonts w:ascii="Arial" w:cs="Arial" w:eastAsia="Arial" w:hAnsi="Arial"/>
          <w:b/>
          <w:bCs/>
          <w:sz w:val="22"/>
          <w:szCs w:val="22"/>
        </w:rPr>
        <w:t xml:space="preserve">Bond universe management</w:t>
      </w:r>
      <w:r>
        <w:rPr>
          <w:rFonts w:ascii="Arial" w:cs="Arial" w:eastAsia="Arial" w:hAnsi="Arial"/>
          <w:sz w:val="22"/>
          <w:szCs w:val="22"/>
        </w:rPr>
        <w:t xml:space="preserve"> — load 25 sample IG bonds or upload your own via CSV/Excel</w:t>
      </w:r>
    </w:p>
    <w:p>
      <w:pPr>
        <w:pStyle w:val="ListParagraph"/>
        <w:numPr>
          <w:ilvl w:val="0"/>
          <w:numId w:val="2"/>
        </w:numPr>
        <w:spacing w:after="60" w:line="276"/>
      </w:pPr>
      <w:r>
        <w:rPr>
          <w:rFonts w:ascii="Arial" w:cs="Arial" w:eastAsia="Arial" w:hAnsi="Arial"/>
          <w:b/>
          <w:bCs/>
          <w:sz w:val="22"/>
          <w:szCs w:val="22"/>
        </w:rPr>
        <w:t xml:space="preserve">Manager views</w:t>
      </w:r>
      <w:r>
        <w:rPr>
          <w:rFonts w:ascii="Arial" w:cs="Arial" w:eastAsia="Arial" w:hAnsi="Arial"/>
          <w:sz w:val="22"/>
          <w:szCs w:val="22"/>
        </w:rPr>
        <w:t xml:space="preserve"> — express absolute or relative views on bond returns with confidence levels</w:t>
      </w:r>
    </w:p>
    <w:p>
      <w:pPr>
        <w:pStyle w:val="ListParagraph"/>
        <w:numPr>
          <w:ilvl w:val="0"/>
          <w:numId w:val="2"/>
        </w:numPr>
        <w:spacing w:after="60" w:line="276"/>
      </w:pPr>
      <w:r>
        <w:rPr>
          <w:rFonts w:ascii="Arial" w:cs="Arial" w:eastAsia="Arial" w:hAnsi="Arial"/>
          <w:b/>
          <w:bCs/>
          <w:sz w:val="22"/>
          <w:szCs w:val="22"/>
        </w:rPr>
        <w:t xml:space="preserve">Black-Litterman optimisation</w:t>
      </w:r>
      <w:r>
        <w:rPr>
          <w:rFonts w:ascii="Arial" w:cs="Arial" w:eastAsia="Arial" w:hAnsi="Arial"/>
          <w:sz w:val="22"/>
          <w:szCs w:val="22"/>
        </w:rPr>
        <w:t xml:space="preserve"> — blend equilibrium returns with views using Bayesian inference</w:t>
      </w:r>
    </w:p>
    <w:p>
      <w:pPr>
        <w:pStyle w:val="ListParagraph"/>
        <w:numPr>
          <w:ilvl w:val="0"/>
          <w:numId w:val="2"/>
        </w:numPr>
        <w:spacing w:after="60" w:line="276"/>
      </w:pPr>
      <w:r>
        <w:rPr>
          <w:rFonts w:ascii="Arial" w:cs="Arial" w:eastAsia="Arial" w:hAnsi="Arial"/>
          <w:b/>
          <w:bCs/>
          <w:sz w:val="22"/>
          <w:szCs w:val="22"/>
        </w:rPr>
        <w:t xml:space="preserve">Constrained portfolio construction</w:t>
      </w:r>
      <w:r>
        <w:rPr>
          <w:rFonts w:ascii="Arial" w:cs="Arial" w:eastAsia="Arial" w:hAnsi="Arial"/>
          <w:sz w:val="22"/>
          <w:szCs w:val="22"/>
        </w:rPr>
        <w:t xml:space="preserve"> — issuer limits, sector bounds, tracking error, spread duration tolerance</w:t>
      </w:r>
    </w:p>
    <w:p>
      <w:pPr>
        <w:pStyle w:val="ListParagraph"/>
        <w:numPr>
          <w:ilvl w:val="0"/>
          <w:numId w:val="2"/>
        </w:numPr>
        <w:spacing w:after="60" w:line="276"/>
      </w:pPr>
      <w:r>
        <w:rPr>
          <w:rFonts w:ascii="Arial" w:cs="Arial" w:eastAsia="Arial" w:hAnsi="Arial"/>
          <w:b/>
          <w:bCs/>
          <w:sz w:val="22"/>
          <w:szCs w:val="22"/>
        </w:rPr>
        <w:t xml:space="preserve">Credit risk analytics</w:t>
      </w:r>
      <w:r>
        <w:rPr>
          <w:rFonts w:ascii="Arial" w:cs="Arial" w:eastAsia="Arial" w:hAnsi="Arial"/>
          <w:sz w:val="22"/>
          <w:szCs w:val="22"/>
        </w:rPr>
        <w:t xml:space="preserve"> — expected loss, DTS, spread duration, Credit VaR/CVaR via Monte Carlo</w:t>
      </w:r>
    </w:p>
    <w:p>
      <w:pPr>
        <w:pStyle w:val="ListParagraph"/>
        <w:numPr>
          <w:ilvl w:val="0"/>
          <w:numId w:val="2"/>
        </w:numPr>
        <w:spacing w:after="60" w:line="276"/>
      </w:pPr>
      <w:r>
        <w:rPr>
          <w:rFonts w:ascii="Arial" w:cs="Arial" w:eastAsia="Arial" w:hAnsi="Arial"/>
          <w:b/>
          <w:bCs/>
          <w:sz w:val="22"/>
          <w:szCs w:val="22"/>
        </w:rPr>
        <w:t xml:space="preserve">Interactive visualisation</w:t>
      </w:r>
      <w:r>
        <w:rPr>
          <w:rFonts w:ascii="Arial" w:cs="Arial" w:eastAsia="Arial" w:hAnsi="Arial"/>
          <w:sz w:val="22"/>
          <w:szCs w:val="22"/>
        </w:rPr>
        <w:t xml:space="preserve"> — active weight charts, sector/rating allocation, risk-return scatter</w:t>
      </w:r>
    </w:p>
    <w:p>
      <w:pPr>
        <w:pBdr>
          <w:bottom w:val="single" w:color="AED6F1" w:sz="4" w:space="1"/>
        </w:pBdr>
        <w:spacing w:after="200" w:before="200"/>
      </w:pPr>
    </w:p>
    <w:p>
      <w:pPr>
        <w:pStyle w:val="Heading1"/>
        <w:spacing w:after="150" w:before="300"/>
      </w:pPr>
      <w:r>
        <w:t xml:space="preserve">2. Architecture</w:t>
      </w:r>
    </w:p>
    <w:p>
      <w:pPr>
        <w:spacing w:after="120" w:line="276"/>
      </w:pPr>
      <w:r>
        <w:rPr>
          <w:rFonts w:ascii="Arial" w:cs="Arial" w:eastAsia="Arial" w:hAnsi="Arial"/>
          <w:sz w:val="22"/>
          <w:szCs w:val="22"/>
        </w:rPr>
        <w:t xml:space="preserve">The project is split into a frontend and a backend, each deployed separately on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Deployed 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 Vite + Tailwind + Recharts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 Static Site</w:t>
            </w:r>
          </w:p>
        </w:tc>
      </w:tr>
      <w:tr>
        <w:tc>
          <w:tcPr>
            <w:tcW w:type="dxa" w:w="2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Backend API</w:t>
            </w:r>
          </w:p>
        </w:tc>
        <w:tc>
          <w:tcPr>
            <w:tcW w:type="dxa" w:w="4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FastAPI + cvxpy + scipy + numpy</w:t>
            </w:r>
          </w:p>
        </w:tc>
        <w:tc>
          <w:tcPr>
            <w:tcW w:type="dxa" w:w="33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Render Web Service</w:t>
            </w:r>
          </w:p>
        </w:tc>
      </w:tr>
    </w:tbl>
    <w:p>
      <w:pPr>
        <w:spacing w:after="200"/>
      </w:pPr>
    </w:p>
    <w:p>
      <w:pPr>
        <w:pStyle w:val="Heading2"/>
        <w:spacing w:after="150" w:before="300"/>
      </w:pPr>
      <w:r>
        <w:t xml:space="preserve">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src/App.jsx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 React component — UI, state management, API calls</w:t>
            </w:r>
          </w:p>
        </w:tc>
      </w:tr>
      <w:tr>
        <w:tc>
          <w:tcPr>
            <w:tcW w:type="dxa" w:w="3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src/constants.js</w:t>
            </w:r>
          </w:p>
        </w:tc>
        <w:tc>
          <w:tcPr>
            <w:tcW w:type="dxa" w:w="63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Sample bond data and display constants (colours, sectors)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src/engine.js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Browser-side BL engine (JavaScript fallback)</w:t>
            </w:r>
          </w:p>
        </w:tc>
      </w:tr>
      <w:tr>
        <w:tc>
          <w:tcPr>
            <w:tcW w:type="dxa" w:w="3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backend/main.py</w:t>
            </w:r>
          </w:p>
        </w:tc>
        <w:tc>
          <w:tcPr>
            <w:tcW w:type="dxa" w:w="63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FastAPI endpoints: /optimise, /equilibrium, /upload-bonds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backend/bl_engine.py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Black-Litterman maths: equilibrium, views, posterior, optimisation</w:t>
            </w:r>
          </w:p>
        </w:tc>
      </w:tr>
      <w:tr>
        <w:tc>
          <w:tcPr>
            <w:tcW w:type="dxa" w:w="3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backend/risk_engine.py</w:t>
            </w:r>
          </w:p>
        </w:tc>
        <w:tc>
          <w:tcPr>
            <w:tcW w:type="dxa" w:w="63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Risk analytics: covariance, migration loss, Monte Carlo VaR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backend/utils.py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Helpers: YTM solver, column aliasing, OAS estimation</w:t>
            </w:r>
          </w:p>
        </w:tc>
      </w:tr>
      <w:tr>
        <w:tc>
          <w:tcPr>
            <w:tcW w:type="dxa" w:w="3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backend/models.py</w:t>
            </w:r>
          </w:p>
        </w:tc>
        <w:tc>
          <w:tcPr>
            <w:tcW w:type="dxa" w:w="63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Pydantic schemas for API request/response validation</w:t>
            </w:r>
          </w:p>
        </w:tc>
      </w:tr>
    </w:tbl>
    <w:p>
      <w:r>
        <w:br w:type="page"/>
      </w:r>
    </w:p>
    <w:p>
      <w:pPr>
        <w:pStyle w:val="Heading1"/>
        <w:spacing w:after="150" w:before="300"/>
      </w:pPr>
      <w:r>
        <w:t xml:space="preserve">3. The Black-Litterman Model (Plain English)</w:t>
      </w:r>
    </w:p>
    <w:p>
      <w:pPr>
        <w:spacing w:after="120" w:line="276"/>
      </w:pPr>
      <w:r>
        <w:rPr>
          <w:rFonts w:ascii="Arial" w:cs="Arial" w:eastAsia="Arial" w:hAnsi="Arial"/>
          <w:sz w:val="22"/>
          <w:szCs w:val="22"/>
        </w:rPr>
        <w:t xml:space="preserve">The Black-Litterman model answers a simple question: given what the market tells us about expected returns and what the portfolio manager believes, what is the optimal portfolio?</w:t>
      </w:r>
    </w:p>
    <w:p>
      <w:pPr>
        <w:spacing w:after="120" w:line="276"/>
      </w:pPr>
      <w:r>
        <w:rPr>
          <w:rFonts w:ascii="Arial" w:cs="Arial" w:eastAsia="Arial" w:hAnsi="Arial"/>
          <w:sz w:val="22"/>
          <w:szCs w:val="22"/>
        </w:rPr>
        <w:t xml:space="preserve">It works in four steps:</w:t>
      </w:r>
    </w:p>
    <w:p>
      <w:pPr>
        <w:pStyle w:val="Heading3"/>
        <w:spacing w:after="150" w:before="300"/>
      </w:pPr>
      <w:r>
        <w:t xml:space="preserve">Step 1: Equilibrium Returns</w:t>
      </w:r>
    </w:p>
    <w:p>
      <w:pPr>
        <w:spacing w:after="120" w:line="276"/>
      </w:pPr>
      <w:r>
        <w:rPr>
          <w:rFonts w:ascii="Arial" w:cs="Arial" w:eastAsia="Arial" w:hAnsi="Arial"/>
          <w:sz w:val="22"/>
          <w:szCs w:val="22"/>
        </w:rPr>
        <w:t xml:space="preserve">Start by asking: </w:t>
      </w:r>
      <w:r>
        <w:rPr>
          <w:rFonts w:ascii="Arial" w:cs="Arial" w:eastAsia="Arial" w:hAnsi="Arial"/>
          <w:i/>
          <w:iCs/>
          <w:sz w:val="22"/>
          <w:szCs w:val="22"/>
        </w:rPr>
        <w:t xml:space="preserve">"If the current market weights are optimal, what returns must the market be expecting?"</w:t>
      </w:r>
      <w:r>
        <w:rPr>
          <w:rFonts w:ascii="Arial" w:cs="Arial" w:eastAsia="Arial" w:hAnsi="Arial"/>
          <w:sz w:val="22"/>
          <w:szCs w:val="22"/>
        </w:rPr>
        <w:t xml:space="preserve"> This is called </w:t>
      </w:r>
      <w:r>
        <w:rPr>
          <w:rFonts w:ascii="Arial" w:cs="Arial" w:eastAsia="Arial" w:hAnsi="Arial"/>
          <w:b/>
          <w:bCs/>
          <w:sz w:val="22"/>
          <w:szCs w:val="22"/>
        </w:rPr>
        <w:t xml:space="preserve">reverse optimisation</w:t>
      </w:r>
      <w:r>
        <w:rPr>
          <w:rFonts w:ascii="Arial" w:cs="Arial" w:eastAsia="Arial" w:hAnsi="Arial"/>
          <w:sz w:val="22"/>
          <w:szCs w:val="22"/>
        </w:rPr>
        <w:t xml:space="preserve">. The formula is:</w:t>
      </w:r>
    </w:p>
    <w:p>
      <w:pPr>
        <w:shd w:fill="F4F6F7" w:val="clear"/>
        <w:spacing w:after="40" w:line="240"/>
        <w:ind w:left="360"/>
      </w:pPr>
      <w:r>
        <w:rPr>
          <w:rFonts w:ascii="Consolas" w:cs="Consolas" w:eastAsia="Consolas" w:hAnsi="Consolas"/>
          <w:sz w:val="18"/>
          <w:szCs w:val="18"/>
        </w:rPr>
        <w:t xml:space="preserve">pi = delta * Sigma * w_market</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where:</w:t>
      </w:r>
    </w:p>
    <w:p>
      <w:pPr>
        <w:shd w:fill="F4F6F7" w:val="clear"/>
        <w:spacing w:after="40" w:line="240"/>
        <w:ind w:left="360"/>
      </w:pPr>
      <w:r>
        <w:rPr>
          <w:rFonts w:ascii="Consolas" w:cs="Consolas" w:eastAsia="Consolas" w:hAnsi="Consolas"/>
          <w:sz w:val="18"/>
          <w:szCs w:val="18"/>
        </w:rPr>
        <w:t xml:space="preserve">  pi     = implied equilibrium returns (one per bond)</w:t>
      </w:r>
    </w:p>
    <w:p>
      <w:pPr>
        <w:shd w:fill="F4F6F7" w:val="clear"/>
        <w:spacing w:after="40" w:line="240"/>
        <w:ind w:left="360"/>
      </w:pPr>
      <w:r>
        <w:rPr>
          <w:rFonts w:ascii="Consolas" w:cs="Consolas" w:eastAsia="Consolas" w:hAnsi="Consolas"/>
          <w:sz w:val="18"/>
          <w:szCs w:val="18"/>
        </w:rPr>
        <w:t xml:space="preserve">  delta  = risk aversion coefficient (how much risk the market dislikes)</w:t>
      </w:r>
    </w:p>
    <w:p>
      <w:pPr>
        <w:shd w:fill="F4F6F7" w:val="clear"/>
        <w:spacing w:after="40" w:line="240"/>
        <w:ind w:left="360"/>
      </w:pPr>
      <w:r>
        <w:rPr>
          <w:rFonts w:ascii="Consolas" w:cs="Consolas" w:eastAsia="Consolas" w:hAnsi="Consolas"/>
          <w:sz w:val="18"/>
          <w:szCs w:val="18"/>
        </w:rPr>
        <w:t xml:space="preserve">  Sigma  = covariance matrix (how bond returns move together)</w:t>
      </w:r>
    </w:p>
    <w:p>
      <w:pPr>
        <w:shd w:fill="F4F6F7" w:val="clear"/>
        <w:spacing w:after="40" w:line="240"/>
        <w:ind w:left="360"/>
      </w:pPr>
      <w:r>
        <w:rPr>
          <w:rFonts w:ascii="Consolas" w:cs="Consolas" w:eastAsia="Consolas" w:hAnsi="Consolas"/>
          <w:sz w:val="18"/>
          <w:szCs w:val="18"/>
        </w:rPr>
        <w:t xml:space="preserve">  w_market = market-cap weights (each bond's share of the universe)</w:t>
      </w:r>
    </w:p>
    <w:p>
      <w:pPr>
        <w:spacing w:after="120" w:line="276"/>
      </w:pPr>
      <w:r>
        <w:rPr>
          <w:rFonts w:ascii="Arial" w:cs="Arial" w:eastAsia="Arial" w:hAnsi="Arial"/>
          <w:sz w:val="22"/>
          <w:szCs w:val="22"/>
        </w:rPr>
        <w:t xml:space="preserve">For credit bonds, we also subtract expected default losses and rating migration losses to get credit-adjusted returns.</w:t>
      </w:r>
    </w:p>
    <w:p>
      <w:pPr>
        <w:pStyle w:val="Heading3"/>
        <w:spacing w:after="150" w:before="300"/>
      </w:pPr>
      <w:r>
        <w:t xml:space="preserve">Step 2: Express Views</w:t>
      </w:r>
    </w:p>
    <w:p>
      <w:pPr>
        <w:spacing w:after="120" w:line="276"/>
      </w:pPr>
      <w:r>
        <w:rPr>
          <w:rFonts w:ascii="Arial" w:cs="Arial" w:eastAsia="Arial" w:hAnsi="Arial"/>
          <w:sz w:val="22"/>
          <w:szCs w:val="22"/>
        </w:rPr>
        <w:t xml:space="preserve">The manager expresses views like:</w:t>
      </w:r>
    </w:p>
    <w:p>
      <w:pPr>
        <w:pStyle w:val="ListParagraph"/>
        <w:numPr>
          <w:ilvl w:val="0"/>
          <w:numId w:val="2"/>
        </w:numPr>
        <w:spacing w:after="60" w:line="276"/>
      </w:pPr>
      <w:r>
        <w:rPr>
          <w:rFonts w:ascii="Arial" w:cs="Arial" w:eastAsia="Arial" w:hAnsi="Arial"/>
          <w:b/>
          <w:bCs/>
          <w:sz w:val="22"/>
          <w:szCs w:val="22"/>
        </w:rPr>
        <w:t xml:space="preserve">Absolute:</w:t>
      </w:r>
      <w:r>
        <w:rPr>
          <w:rFonts w:ascii="Arial" w:cs="Arial" w:eastAsia="Arial" w:hAnsi="Arial"/>
          <w:sz w:val="22"/>
          <w:szCs w:val="22"/>
        </w:rPr>
        <w:t xml:space="preserve"> "I think Ford (F) will return 80bp" (confidence: 40%)</w:t>
      </w:r>
    </w:p>
    <w:p>
      <w:pPr>
        <w:pStyle w:val="ListParagraph"/>
        <w:numPr>
          <w:ilvl w:val="0"/>
          <w:numId w:val="2"/>
        </w:numPr>
        <w:spacing w:after="60" w:line="276"/>
      </w:pPr>
      <w:r>
        <w:rPr>
          <w:rFonts w:ascii="Arial" w:cs="Arial" w:eastAsia="Arial" w:hAnsi="Arial"/>
          <w:b/>
          <w:bCs/>
          <w:sz w:val="22"/>
          <w:szCs w:val="22"/>
        </w:rPr>
        <w:t xml:space="preserve">Relative:</w:t>
      </w:r>
      <w:r>
        <w:rPr>
          <w:rFonts w:ascii="Arial" w:cs="Arial" w:eastAsia="Arial" w:hAnsi="Arial"/>
          <w:sz w:val="22"/>
          <w:szCs w:val="22"/>
        </w:rPr>
        <w:t xml:space="preserve"> "I think JPM and GS will outperform T and VZ by 30bp" (confidence: 60%)</w:t>
      </w:r>
    </w:p>
    <w:p>
      <w:pPr>
        <w:spacing w:after="120" w:line="276"/>
      </w:pPr>
      <w:r>
        <w:rPr>
          <w:rFonts w:ascii="Arial" w:cs="Arial" w:eastAsia="Arial" w:hAnsi="Arial"/>
          <w:sz w:val="22"/>
          <w:szCs w:val="22"/>
        </w:rPr>
        <w:t xml:space="preserve">These views are encoded into three matrices: </w:t>
      </w:r>
      <w:r>
        <w:rPr>
          <w:rFonts w:ascii="Arial" w:cs="Arial" w:eastAsia="Arial" w:hAnsi="Arial"/>
          <w:b/>
          <w:bCs/>
          <w:sz w:val="22"/>
          <w:szCs w:val="22"/>
        </w:rPr>
        <w:t xml:space="preserve">P</w:t>
      </w:r>
      <w:r>
        <w:rPr>
          <w:rFonts w:ascii="Arial" w:cs="Arial" w:eastAsia="Arial" w:hAnsi="Arial"/>
          <w:sz w:val="22"/>
          <w:szCs w:val="22"/>
        </w:rPr>
        <w:t xml:space="preserve"> (which bonds are involved), </w:t>
      </w:r>
      <w:r>
        <w:rPr>
          <w:rFonts w:ascii="Arial" w:cs="Arial" w:eastAsia="Arial" w:hAnsi="Arial"/>
          <w:b/>
          <w:bCs/>
          <w:sz w:val="22"/>
          <w:szCs w:val="22"/>
        </w:rPr>
        <w:t xml:space="preserve">Q</w:t>
      </w:r>
      <w:r>
        <w:rPr>
          <w:rFonts w:ascii="Arial" w:cs="Arial" w:eastAsia="Arial" w:hAnsi="Arial"/>
          <w:sz w:val="22"/>
          <w:szCs w:val="22"/>
        </w:rPr>
        <w:t xml:space="preserve"> (the expected return), and </w:t>
      </w:r>
      <w:r>
        <w:rPr>
          <w:rFonts w:ascii="Arial" w:cs="Arial" w:eastAsia="Arial" w:hAnsi="Arial"/>
          <w:b/>
          <w:bCs/>
          <w:sz w:val="22"/>
          <w:szCs w:val="22"/>
        </w:rPr>
        <w:t xml:space="preserve">Omega</w:t>
      </w:r>
      <w:r>
        <w:rPr>
          <w:rFonts w:ascii="Arial" w:cs="Arial" w:eastAsia="Arial" w:hAnsi="Arial"/>
          <w:sz w:val="22"/>
          <w:szCs w:val="22"/>
        </w:rPr>
        <w:t xml:space="preserve"> (how uncertain we are). Lower confidence = wider uncertainty = less impact on the final result.</w:t>
      </w:r>
    </w:p>
    <w:p>
      <w:pPr>
        <w:pStyle w:val="Heading3"/>
        <w:spacing w:after="150" w:before="300"/>
      </w:pPr>
      <w:r>
        <w:t xml:space="preserve">Step 3: Bayesian Posterior</w:t>
      </w:r>
    </w:p>
    <w:p>
      <w:pPr>
        <w:spacing w:after="120" w:line="276"/>
      </w:pPr>
      <w:r>
        <w:rPr>
          <w:rFonts w:ascii="Arial" w:cs="Arial" w:eastAsia="Arial" w:hAnsi="Arial"/>
          <w:sz w:val="22"/>
          <w:szCs w:val="22"/>
        </w:rPr>
        <w:t xml:space="preserve">This is the core of Black-Litterman. We blend the market’s implied returns (the "prior") with the manager’s views using Bayes’ theorem:</w:t>
      </w:r>
    </w:p>
    <w:p>
      <w:pPr>
        <w:shd w:fill="F4F6F7" w:val="clear"/>
        <w:spacing w:after="40" w:line="240"/>
        <w:ind w:left="360"/>
      </w:pPr>
      <w:r>
        <w:rPr>
          <w:rFonts w:ascii="Consolas" w:cs="Consolas" w:eastAsia="Consolas" w:hAnsi="Consolas"/>
          <w:sz w:val="18"/>
          <w:szCs w:val="18"/>
        </w:rPr>
        <w:t xml:space="preserve">mu_BL = inv(inv(tau*Sigma) + P'*inv(Omega)*P)</w:t>
      </w:r>
    </w:p>
    <w:p>
      <w:pPr>
        <w:shd w:fill="F4F6F7" w:val="clear"/>
        <w:spacing w:after="40" w:line="240"/>
        <w:ind w:left="360"/>
      </w:pPr>
      <w:r>
        <w:rPr>
          <w:rFonts w:ascii="Consolas" w:cs="Consolas" w:eastAsia="Consolas" w:hAnsi="Consolas"/>
          <w:sz w:val="18"/>
          <w:szCs w:val="18"/>
        </w:rPr>
        <w:t xml:space="preserve">        * (inv(tau*Sigma)*pi + P'*inv(Omega)*Q)</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where:</w:t>
      </w:r>
    </w:p>
    <w:p>
      <w:pPr>
        <w:shd w:fill="F4F6F7" w:val="clear"/>
        <w:spacing w:after="40" w:line="240"/>
        <w:ind w:left="360"/>
      </w:pPr>
      <w:r>
        <w:rPr>
          <w:rFonts w:ascii="Consolas" w:cs="Consolas" w:eastAsia="Consolas" w:hAnsi="Consolas"/>
          <w:sz w:val="18"/>
          <w:szCs w:val="18"/>
        </w:rPr>
        <w:t xml:space="preserve">  tau    = scalar controlling how much we trust the prior (typically 0.025)</w:t>
      </w:r>
    </w:p>
    <w:p>
      <w:pPr>
        <w:shd w:fill="F4F6F7" w:val="clear"/>
        <w:spacing w:after="40" w:line="240"/>
        <w:ind w:left="360"/>
      </w:pPr>
      <w:r>
        <w:rPr>
          <w:rFonts w:ascii="Consolas" w:cs="Consolas" w:eastAsia="Consolas" w:hAnsi="Consolas"/>
          <w:sz w:val="18"/>
          <w:szCs w:val="18"/>
        </w:rPr>
        <w:t xml:space="preserve">  pi     = equilibrium returns from Step 1</w:t>
      </w:r>
    </w:p>
    <w:p>
      <w:pPr>
        <w:shd w:fill="F4F6F7" w:val="clear"/>
        <w:spacing w:after="40" w:line="240"/>
        <w:ind w:left="360"/>
      </w:pPr>
      <w:r>
        <w:rPr>
          <w:rFonts w:ascii="Consolas" w:cs="Consolas" w:eastAsia="Consolas" w:hAnsi="Consolas"/>
          <w:sz w:val="18"/>
          <w:szCs w:val="18"/>
        </w:rPr>
        <w:t xml:space="preserve">  P, Q, Omega = view matrices from Step 2</w:t>
      </w:r>
    </w:p>
    <w:p>
      <w:pPr>
        <w:shd w:fill="F4F6F7" w:val="clear"/>
        <w:spacing w:after="40" w:line="240"/>
        <w:ind w:left="360"/>
      </w:pPr>
      <w:r>
        <w:rPr>
          <w:rFonts w:ascii="Consolas" w:cs="Consolas" w:eastAsia="Consolas" w:hAnsi="Consolas"/>
          <w:sz w:val="18"/>
          <w:szCs w:val="18"/>
        </w:rPr>
        <w:t xml:space="preserve">  mu_BL  = blended "posterior" expected returns</w:t>
      </w:r>
    </w:p>
    <w:p>
      <w:pPr>
        <w:spacing w:after="120" w:line="276"/>
      </w:pPr>
      <w:r>
        <w:rPr>
          <w:rFonts w:ascii="Arial" w:cs="Arial" w:eastAsia="Arial" w:hAnsi="Arial"/>
          <w:sz w:val="22"/>
          <w:szCs w:val="22"/>
        </w:rPr>
        <w:t xml:space="preserve">If the manager has no views, mu_BL simply equals the equilibrium returns. Views with high confidence pull the returns more toward the manager’s expectations.</w:t>
      </w:r>
    </w:p>
    <w:p>
      <w:pPr>
        <w:pStyle w:val="Heading3"/>
        <w:spacing w:after="150" w:before="300"/>
      </w:pPr>
      <w:r>
        <w:t xml:space="preserve">Step 4: Optimise</w:t>
      </w:r>
    </w:p>
    <w:p>
      <w:pPr>
        <w:spacing w:after="120" w:line="276"/>
      </w:pPr>
      <w:r>
        <w:rPr>
          <w:rFonts w:ascii="Arial" w:cs="Arial" w:eastAsia="Arial" w:hAnsi="Arial"/>
          <w:sz w:val="22"/>
          <w:szCs w:val="22"/>
        </w:rPr>
        <w:t xml:space="preserve">Finally, solve a constrained optimisation problem:</w:t>
      </w:r>
    </w:p>
    <w:p>
      <w:pPr>
        <w:shd w:fill="F4F6F7" w:val="clear"/>
        <w:spacing w:after="40" w:line="240"/>
        <w:ind w:left="360"/>
      </w:pPr>
      <w:r>
        <w:rPr>
          <w:rFonts w:ascii="Consolas" w:cs="Consolas" w:eastAsia="Consolas" w:hAnsi="Consolas"/>
          <w:sz w:val="18"/>
          <w:szCs w:val="18"/>
        </w:rPr>
        <w:t xml:space="preserve">maximise:   w' * mu_BL  -  (delta/2) * w' * Sigma_BL * w</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subject to:</w:t>
      </w:r>
    </w:p>
    <w:p>
      <w:pPr>
        <w:shd w:fill="F4F6F7" w:val="clear"/>
        <w:spacing w:after="40" w:line="240"/>
        <w:ind w:left="360"/>
      </w:pPr>
      <w:r>
        <w:rPr>
          <w:rFonts w:ascii="Consolas" w:cs="Consolas" w:eastAsia="Consolas" w:hAnsi="Consolas"/>
          <w:sz w:val="18"/>
          <w:szCs w:val="18"/>
        </w:rPr>
        <w:t xml:space="preserve">  - All weights sum to 1 (fully invested)</w:t>
      </w:r>
    </w:p>
    <w:p>
      <w:pPr>
        <w:shd w:fill="F4F6F7" w:val="clear"/>
        <w:spacing w:after="40" w:line="240"/>
        <w:ind w:left="360"/>
      </w:pPr>
      <w:r>
        <w:rPr>
          <w:rFonts w:ascii="Consolas" w:cs="Consolas" w:eastAsia="Consolas" w:hAnsi="Consolas"/>
          <w:sz w:val="18"/>
          <w:szCs w:val="18"/>
        </w:rPr>
        <w:t xml:space="preserve">  - All weights &gt;= 0 (long-only)</w:t>
      </w:r>
    </w:p>
    <w:p>
      <w:pPr>
        <w:shd w:fill="F4F6F7" w:val="clear"/>
        <w:spacing w:after="40" w:line="240"/>
        <w:ind w:left="360"/>
      </w:pPr>
      <w:r>
        <w:rPr>
          <w:rFonts w:ascii="Consolas" w:cs="Consolas" w:eastAsia="Consolas" w:hAnsi="Consolas"/>
          <w:sz w:val="18"/>
          <w:szCs w:val="18"/>
        </w:rPr>
        <w:t xml:space="preserve">  - No single issuer &gt; 8% (concentration limit)</w:t>
      </w:r>
    </w:p>
    <w:p>
      <w:pPr>
        <w:shd w:fill="F4F6F7" w:val="clear"/>
        <w:spacing w:after="40" w:line="240"/>
        <w:ind w:left="360"/>
      </w:pPr>
      <w:r>
        <w:rPr>
          <w:rFonts w:ascii="Consolas" w:cs="Consolas" w:eastAsia="Consolas" w:hAnsi="Consolas"/>
          <w:sz w:val="18"/>
          <w:szCs w:val="18"/>
        </w:rPr>
        <w:t xml:space="preserve">  - Sector weights within +/-10% of benchmark</w:t>
      </w:r>
    </w:p>
    <w:p>
      <w:pPr>
        <w:shd w:fill="F4F6F7" w:val="clear"/>
        <w:spacing w:after="40" w:line="240"/>
        <w:ind w:left="360"/>
      </w:pPr>
      <w:r>
        <w:rPr>
          <w:rFonts w:ascii="Consolas" w:cs="Consolas" w:eastAsia="Consolas" w:hAnsi="Consolas"/>
          <w:sz w:val="18"/>
          <w:szCs w:val="18"/>
        </w:rPr>
        <w:t xml:space="preserve">  - Spread duration close to benchmark</w:t>
      </w:r>
    </w:p>
    <w:p>
      <w:pPr>
        <w:shd w:fill="F4F6F7" w:val="clear"/>
        <w:spacing w:after="40" w:line="240"/>
        <w:ind w:left="360"/>
      </w:pPr>
      <w:r>
        <w:rPr>
          <w:rFonts w:ascii="Consolas" w:cs="Consolas" w:eastAsia="Consolas" w:hAnsi="Consolas"/>
          <w:sz w:val="18"/>
          <w:szCs w:val="18"/>
        </w:rPr>
        <w:t xml:space="preserve">  - Tracking error &lt; 150bp</w:t>
      </w:r>
    </w:p>
    <w:p>
      <w:pPr>
        <w:spacing w:after="120" w:line="276"/>
      </w:pPr>
      <w:r>
        <w:rPr>
          <w:rFonts w:ascii="Arial" w:cs="Arial" w:eastAsia="Arial" w:hAnsi="Arial"/>
          <w:sz w:val="22"/>
          <w:szCs w:val="22"/>
        </w:rPr>
        <w:t xml:space="preserve">The backend uses cvxpy (a convex optimisation library) to solve this exactly. The browser fallback uses gradient projection, which is approximate but fast.</w:t>
      </w:r>
    </w:p>
    <w:p>
      <w:r>
        <w:br w:type="page"/>
      </w:r>
    </w:p>
    <w:p>
      <w:pPr>
        <w:pStyle w:val="Heading1"/>
        <w:spacing w:after="150" w:before="300"/>
      </w:pPr>
      <w:r>
        <w:t xml:space="preserve">4. Python Backend — Code Walkthrough</w:t>
      </w:r>
    </w:p>
    <w:p>
      <w:pPr>
        <w:pStyle w:val="Heading2"/>
        <w:spacing w:after="150" w:before="300"/>
      </w:pPr>
      <w:r>
        <w:t xml:space="preserve">4.1  main.py — API Endpoints</w:t>
      </w:r>
    </w:p>
    <w:p>
      <w:pPr>
        <w:spacing w:after="120" w:line="276"/>
      </w:pPr>
      <w:r>
        <w:rPr>
          <w:rFonts w:ascii="Arial" w:cs="Arial" w:eastAsia="Arial" w:hAnsi="Arial"/>
          <w:sz w:val="22"/>
          <w:szCs w:val="22"/>
        </w:rPr>
        <w:t xml:space="preserve">This is the entry point. It defines three API endpoints using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/api/v1/optimise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BL pipeline: returns optimal weights + risk metrics</w:t>
            </w:r>
          </w:p>
        </w:tc>
      </w:tr>
      <w:tr>
        <w:tc>
          <w:tcPr>
            <w:tcW w:type="dxa" w:w="3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/api/v1/equilibrium</w:t>
            </w:r>
          </w:p>
        </w:tc>
        <w:tc>
          <w:tcPr>
            <w:tcW w:type="dxa" w:w="12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Returns only equilibrium returns (no views/optimisation)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/api/v1/upload-bonds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 a CSV/Excel file into structured bond data</w:t>
            </w:r>
          </w:p>
        </w:tc>
      </w:tr>
    </w:tbl>
    <w:p>
      <w:pPr>
        <w:spacing w:after="200"/>
      </w:pPr>
    </w:p>
    <w:p>
      <w:pPr>
        <w:spacing w:after="120" w:line="276"/>
      </w:pPr>
      <w:r>
        <w:rPr>
          <w:rFonts w:ascii="Arial" w:cs="Arial" w:eastAsia="Arial" w:hAnsi="Arial"/>
          <w:b/>
          <w:bCs/>
          <w:sz w:val="22"/>
          <w:szCs w:val="22"/>
        </w:rPr>
        <w:t xml:space="preserve">The /optimise endpoint follows 10 numbered steps:</w:t>
      </w:r>
    </w:p>
    <w:p>
      <w:pPr>
        <w:pStyle w:val="ListParagraph"/>
        <w:numPr>
          <w:ilvl w:val="0"/>
          <w:numId w:val="3"/>
        </w:numPr>
        <w:spacing w:after="80" w:line="276"/>
      </w:pPr>
      <w:r>
        <w:rPr>
          <w:rFonts w:ascii="Arial" w:cs="Arial" w:eastAsia="Arial" w:hAnsi="Arial"/>
          <w:b/>
          <w:bCs/>
          <w:sz w:val="22"/>
          <w:szCs w:val="22"/>
        </w:rPr>
        <w:t xml:space="preserve">Validate inputs</w:t>
      </w:r>
      <w:r>
        <w:rPr>
          <w:rFonts w:ascii="Arial" w:cs="Arial" w:eastAsia="Arial" w:hAnsi="Arial"/>
          <w:sz w:val="22"/>
          <w:szCs w:val="22"/>
        </w:rPr>
        <w:t xml:space="preserve"> — check for non-positive OAS values</w:t>
      </w:r>
    </w:p>
    <w:p>
      <w:pPr>
        <w:pStyle w:val="ListParagraph"/>
        <w:numPr>
          <w:ilvl w:val="0"/>
          <w:numId w:val="3"/>
        </w:numPr>
        <w:spacing w:after="80" w:line="276"/>
      </w:pPr>
      <w:r>
        <w:rPr>
          <w:rFonts w:ascii="Arial" w:cs="Arial" w:eastAsia="Arial" w:hAnsi="Arial"/>
          <w:b/>
          <w:bCs/>
          <w:sz w:val="22"/>
          <w:szCs w:val="22"/>
        </w:rPr>
        <w:t xml:space="preserve">Benchmark weights</w:t>
      </w:r>
      <w:r>
        <w:rPr>
          <w:rFonts w:ascii="Arial" w:cs="Arial" w:eastAsia="Arial" w:hAnsi="Arial"/>
          <w:sz w:val="22"/>
          <w:szCs w:val="22"/>
        </w:rPr>
        <w:t xml:space="preserve"> — calculate market-value-weighted portfolio: w = mv / sum(mv)</w:t>
      </w:r>
    </w:p>
    <w:p>
      <w:pPr>
        <w:pStyle w:val="ListParagraph"/>
        <w:numPr>
          <w:ilvl w:val="0"/>
          <w:numId w:val="3"/>
        </w:numPr>
        <w:spacing w:after="80" w:line="276"/>
      </w:pPr>
      <w:r>
        <w:rPr>
          <w:rFonts w:ascii="Arial" w:cs="Arial" w:eastAsia="Arial" w:hAnsi="Arial"/>
          <w:b/>
          <w:bCs/>
          <w:sz w:val="22"/>
          <w:szCs w:val="22"/>
        </w:rPr>
        <w:t xml:space="preserve">Covariance matrix</w:t>
      </w:r>
      <w:r>
        <w:rPr>
          <w:rFonts w:ascii="Arial" w:cs="Arial" w:eastAsia="Arial" w:hAnsi="Arial"/>
          <w:sz w:val="22"/>
          <w:szCs w:val="22"/>
        </w:rPr>
        <w:t xml:space="preserve"> — build the NxN matrix of how bond returns co-move</w:t>
      </w:r>
    </w:p>
    <w:p>
      <w:pPr>
        <w:pStyle w:val="ListParagraph"/>
        <w:numPr>
          <w:ilvl w:val="0"/>
          <w:numId w:val="3"/>
        </w:numPr>
        <w:spacing w:after="80" w:line="276"/>
      </w:pPr>
      <w:r>
        <w:rPr>
          <w:rFonts w:ascii="Arial" w:cs="Arial" w:eastAsia="Arial" w:hAnsi="Arial"/>
          <w:b/>
          <w:bCs/>
          <w:sz w:val="22"/>
          <w:szCs w:val="22"/>
        </w:rPr>
        <w:t xml:space="preserve">Equilibrium returns</w:t>
      </w:r>
      <w:r>
        <w:rPr>
          <w:rFonts w:ascii="Arial" w:cs="Arial" w:eastAsia="Arial" w:hAnsi="Arial"/>
          <w:sz w:val="22"/>
          <w:szCs w:val="22"/>
        </w:rPr>
        <w:t xml:space="preserve"> — reverse-optimise: pi = delta * Sigma * w, then subtract credit losses</w:t>
      </w:r>
    </w:p>
    <w:p>
      <w:pPr>
        <w:pStyle w:val="ListParagraph"/>
        <w:numPr>
          <w:ilvl w:val="0"/>
          <w:numId w:val="3"/>
        </w:numPr>
        <w:spacing w:after="80" w:line="276"/>
      </w:pPr>
      <w:r>
        <w:rPr>
          <w:rFonts w:ascii="Arial" w:cs="Arial" w:eastAsia="Arial" w:hAnsi="Arial"/>
          <w:b/>
          <w:bCs/>
          <w:sz w:val="22"/>
          <w:szCs w:val="22"/>
        </w:rPr>
        <w:t xml:space="preserve">Incorporate views</w:t>
      </w:r>
      <w:r>
        <w:rPr>
          <w:rFonts w:ascii="Arial" w:cs="Arial" w:eastAsia="Arial" w:hAnsi="Arial"/>
          <w:sz w:val="22"/>
          <w:szCs w:val="22"/>
        </w:rPr>
        <w:t xml:space="preserve"> — build P, Q, Omega matrices from the manager’s views</w:t>
      </w:r>
    </w:p>
    <w:p>
      <w:pPr>
        <w:pStyle w:val="ListParagraph"/>
        <w:numPr>
          <w:ilvl w:val="0"/>
          <w:numId w:val="3"/>
        </w:numPr>
        <w:spacing w:after="80" w:line="276"/>
      </w:pPr>
      <w:r>
        <w:rPr>
          <w:rFonts w:ascii="Arial" w:cs="Arial" w:eastAsia="Arial" w:hAnsi="Arial"/>
          <w:b/>
          <w:bCs/>
          <w:sz w:val="22"/>
          <w:szCs w:val="22"/>
        </w:rPr>
        <w:t xml:space="preserve">Constrained optimisation</w:t>
      </w:r>
      <w:r>
        <w:rPr>
          <w:rFonts w:ascii="Arial" w:cs="Arial" w:eastAsia="Arial" w:hAnsi="Arial"/>
          <w:sz w:val="22"/>
          <w:szCs w:val="22"/>
        </w:rPr>
        <w:t xml:space="preserve"> — solve the QP via cvxpy to get optimal weights</w:t>
      </w:r>
    </w:p>
    <w:p>
      <w:pPr>
        <w:pStyle w:val="ListParagraph"/>
        <w:numPr>
          <w:ilvl w:val="0"/>
          <w:numId w:val="3"/>
        </w:numPr>
        <w:spacing w:after="80" w:line="276"/>
      </w:pPr>
      <w:r>
        <w:rPr>
          <w:rFonts w:ascii="Arial" w:cs="Arial" w:eastAsia="Arial" w:hAnsi="Arial"/>
          <w:b/>
          <w:bCs/>
          <w:sz w:val="22"/>
          <w:szCs w:val="22"/>
        </w:rPr>
        <w:t xml:space="preserve">Risk metrics</w:t>
      </w:r>
      <w:r>
        <w:rPr>
          <w:rFonts w:ascii="Arial" w:cs="Arial" w:eastAsia="Arial" w:hAnsi="Arial"/>
          <w:sz w:val="22"/>
          <w:szCs w:val="22"/>
        </w:rPr>
        <w:t xml:space="preserve"> — compute return, volatility, Sharpe, TE, IR, expected loss, DTS</w:t>
      </w:r>
    </w:p>
    <w:p>
      <w:pPr>
        <w:pStyle w:val="ListParagraph"/>
        <w:numPr>
          <w:ilvl w:val="0"/>
          <w:numId w:val="3"/>
        </w:numPr>
        <w:spacing w:after="80" w:line="276"/>
      </w:pPr>
      <w:r>
        <w:rPr>
          <w:rFonts w:ascii="Arial" w:cs="Arial" w:eastAsia="Arial" w:hAnsi="Arial"/>
          <w:b/>
          <w:bCs/>
          <w:sz w:val="22"/>
          <w:szCs w:val="22"/>
        </w:rPr>
        <w:t xml:space="preserve">Monte Carlo VaR</w:t>
      </w:r>
      <w:r>
        <w:rPr>
          <w:rFonts w:ascii="Arial" w:cs="Arial" w:eastAsia="Arial" w:hAnsi="Arial"/>
          <w:sz w:val="22"/>
          <w:szCs w:val="22"/>
        </w:rPr>
        <w:t xml:space="preserve"> — simulate 50,000 credit loss scenarios for VaR/CVaR</w:t>
      </w:r>
    </w:p>
    <w:p>
      <w:pPr>
        <w:pStyle w:val="ListParagraph"/>
        <w:numPr>
          <w:ilvl w:val="0"/>
          <w:numId w:val="3"/>
        </w:numPr>
        <w:spacing w:after="80" w:line="276"/>
      </w:pPr>
      <w:r>
        <w:rPr>
          <w:rFonts w:ascii="Arial" w:cs="Arial" w:eastAsia="Arial" w:hAnsi="Arial"/>
          <w:b/>
          <w:bCs/>
          <w:sz w:val="22"/>
          <w:szCs w:val="22"/>
        </w:rPr>
        <w:t xml:space="preserve">Per-issuer results</w:t>
      </w:r>
      <w:r>
        <w:rPr>
          <w:rFonts w:ascii="Arial" w:cs="Arial" w:eastAsia="Arial" w:hAnsi="Arial"/>
          <w:sz w:val="22"/>
          <w:szCs w:val="22"/>
        </w:rPr>
        <w:t xml:space="preserve"> — package each bond’s benchmark/optimal/active weight and returns</w:t>
      </w:r>
    </w:p>
    <w:p>
      <w:pPr>
        <w:pStyle w:val="ListParagraph"/>
        <w:numPr>
          <w:ilvl w:val="0"/>
          <w:numId w:val="3"/>
        </w:numPr>
        <w:spacing w:after="80" w:line="276"/>
      </w:pPr>
      <w:r>
        <w:rPr>
          <w:rFonts w:ascii="Arial" w:cs="Arial" w:eastAsia="Arial" w:hAnsi="Arial"/>
          <w:b/>
          <w:bCs/>
          <w:sz w:val="22"/>
          <w:szCs w:val="22"/>
        </w:rPr>
        <w:t xml:space="preserve">Sector &amp; rating allocation</w:t>
      </w:r>
      <w:r>
        <w:rPr>
          <w:rFonts w:ascii="Arial" w:cs="Arial" w:eastAsia="Arial" w:hAnsi="Arial"/>
          <w:sz w:val="22"/>
          <w:szCs w:val="22"/>
        </w:rPr>
        <w:t xml:space="preserve"> — aggregate weights by sector and rating bucket</w:t>
      </w:r>
    </w:p>
    <w:p>
      <w:pPr>
        <w:spacing w:after="120" w:line="276"/>
      </w:pPr>
      <w:r>
        <w:rPr>
          <w:rFonts w:ascii="Arial" w:cs="Arial" w:eastAsia="Arial" w:hAnsi="Arial"/>
          <w:sz w:val="22"/>
          <w:szCs w:val="22"/>
        </w:rPr>
        <w:t xml:space="preserve">The </w:t>
      </w:r>
      <w:r>
        <w:rPr>
          <w:rFonts w:ascii="Consolas" w:cs="Consolas" w:eastAsia="Consolas" w:hAnsi="Consolas"/>
          <w:sz w:val="20"/>
          <w:szCs w:val="20"/>
          <w:shd w:fill="F4F6F7" w:val="clear"/>
        </w:rPr>
        <w:t xml:space="preserve">/upload-bonds</w:t>
      </w:r>
      <w:r>
        <w:rPr>
          <w:rFonts w:ascii="Arial" w:cs="Arial" w:eastAsia="Arial" w:hAnsi="Arial"/>
          <w:sz w:val="22"/>
          <w:szCs w:val="22"/>
        </w:rPr>
        <w:t xml:space="preserve"> endpoint is a data pipeline: read the file, match column names using flexible aliases (e.g. "spread" maps to "oas"), then for each row: extract fields, calculate any missing YTM from coupon/price/maturity, estimate OAS if needed, and return structured bond data.</w:t>
      </w:r>
    </w:p>
    <w:p>
      <w:pPr>
        <w:pBdr>
          <w:bottom w:val="single" w:color="AED6F1" w:sz="4" w:space="1"/>
        </w:pBdr>
        <w:spacing w:after="200" w:before="200"/>
      </w:pPr>
    </w:p>
    <w:p>
      <w:pPr>
        <w:pStyle w:val="Heading2"/>
        <w:spacing w:after="150" w:before="300"/>
      </w:pPr>
      <w:r>
        <w:t xml:space="preserve">4.2  bl_engine.py — The BL Maths</w:t>
      </w:r>
    </w:p>
    <w:p>
      <w:pPr>
        <w:spacing w:after="120" w:line="276"/>
      </w:pPr>
      <w:r>
        <w:rPr>
          <w:rFonts w:ascii="Arial" w:cs="Arial" w:eastAsia="Arial" w:hAnsi="Arial"/>
          <w:sz w:val="22"/>
          <w:szCs w:val="22"/>
        </w:rPr>
        <w:t xml:space="preserve">Contains the four core functions of the Black-Litterman model:</w:t>
      </w:r>
    </w:p>
    <w:p>
      <w:pPr>
        <w:pStyle w:val="Heading3"/>
        <w:spacing w:after="150" w:before="300"/>
      </w:pPr>
      <w:r>
        <w:t xml:space="preserve">compute_equilibrium()</w:t>
      </w:r>
    </w:p>
    <w:p>
      <w:pPr>
        <w:spacing w:after="120" w:line="276"/>
      </w:pPr>
      <w:r>
        <w:rPr>
          <w:rFonts w:ascii="Arial" w:cs="Arial" w:eastAsia="Arial" w:hAnsi="Arial"/>
          <w:sz w:val="22"/>
          <w:szCs w:val="22"/>
        </w:rPr>
        <w:t xml:space="preserve">Reverse-optimises implied returns from benchmark weights. Two lines of maths:</w:t>
      </w:r>
    </w:p>
    <w:p>
      <w:pPr>
        <w:shd w:fill="F4F6F7" w:val="clear"/>
        <w:spacing w:after="40" w:line="240"/>
        <w:ind w:left="360"/>
      </w:pPr>
      <w:r>
        <w:rPr>
          <w:rFonts w:ascii="Consolas" w:cs="Consolas" w:eastAsia="Consolas" w:hAnsi="Consolas"/>
          <w:sz w:val="18"/>
          <w:szCs w:val="18"/>
        </w:rPr>
        <w:t xml:space="preserve">pi_raw = delta * cov @ w_mkt        # implied excess returns</w:t>
      </w:r>
    </w:p>
    <w:p>
      <w:pPr>
        <w:shd w:fill="F4F6F7" w:val="clear"/>
        <w:spacing w:after="40" w:line="240"/>
        <w:ind w:left="360"/>
      </w:pPr>
      <w:r>
        <w:rPr>
          <w:rFonts w:ascii="Consolas" w:cs="Consolas" w:eastAsia="Consolas" w:hAnsi="Consolas"/>
          <w:sz w:val="18"/>
          <w:szCs w:val="18"/>
        </w:rPr>
        <w:t xml:space="preserve">pi_adj = pi_raw - el - mig_loss      # credit-adjusted returns</w:t>
      </w:r>
    </w:p>
    <w:p>
      <w:pPr>
        <w:spacing w:after="120" w:line="276"/>
      </w:pPr>
      <w:r>
        <w:rPr>
          <w:rFonts w:ascii="Arial" w:cs="Arial" w:eastAsia="Arial" w:hAnsi="Arial"/>
          <w:sz w:val="22"/>
          <w:szCs w:val="22"/>
        </w:rPr>
        <w:t xml:space="preserve">The </w:t>
      </w:r>
      <w:r>
        <w:rPr>
          <w:rFonts w:ascii="Consolas" w:cs="Consolas" w:eastAsia="Consolas" w:hAnsi="Consolas"/>
          <w:sz w:val="20"/>
          <w:szCs w:val="20"/>
          <w:shd w:fill="F4F6F7" w:val="clear"/>
        </w:rPr>
        <w:t xml:space="preserve">@</w:t>
      </w:r>
      <w:r>
        <w:rPr>
          <w:rFonts w:ascii="Arial" w:cs="Arial" w:eastAsia="Arial" w:hAnsi="Arial"/>
          <w:sz w:val="22"/>
          <w:szCs w:val="22"/>
        </w:rPr>
        <w:t xml:space="preserve"> operator is matrix multiplication. </w:t>
      </w:r>
      <w:r>
        <w:rPr>
          <w:rFonts w:ascii="Consolas" w:cs="Consolas" w:eastAsia="Consolas" w:hAnsi="Consolas"/>
          <w:sz w:val="20"/>
          <w:szCs w:val="20"/>
          <w:shd w:fill="F4F6F7" w:val="clear"/>
        </w:rPr>
        <w:t xml:space="preserve">el</w:t>
      </w:r>
      <w:r>
        <w:rPr>
          <w:rFonts w:ascii="Arial" w:cs="Arial" w:eastAsia="Arial" w:hAnsi="Arial"/>
          <w:sz w:val="22"/>
          <w:szCs w:val="22"/>
        </w:rPr>
        <w:t xml:space="preserve"> is expected default loss (PD x LGD). </w:t>
      </w:r>
      <w:r>
        <w:rPr>
          <w:rFonts w:ascii="Consolas" w:cs="Consolas" w:eastAsia="Consolas" w:hAnsi="Consolas"/>
          <w:sz w:val="20"/>
          <w:szCs w:val="20"/>
          <w:shd w:fill="F4F6F7" w:val="clear"/>
        </w:rPr>
        <w:t xml:space="preserve">mig_loss</w:t>
      </w:r>
      <w:r>
        <w:rPr>
          <w:rFonts w:ascii="Arial" w:cs="Arial" w:eastAsia="Arial" w:hAnsi="Arial"/>
          <w:sz w:val="22"/>
          <w:szCs w:val="22"/>
        </w:rPr>
        <w:t xml:space="preserve"> is the probability-weighted cost of rating downgrades.</w:t>
      </w:r>
    </w:p>
    <w:p>
      <w:pPr>
        <w:pStyle w:val="Heading3"/>
        <w:spacing w:after="150" w:before="300"/>
      </w:pPr>
      <w:r>
        <w:t xml:space="preserve">build_view_matrices()</w:t>
      </w:r>
    </w:p>
    <w:p>
      <w:pPr>
        <w:spacing w:after="120" w:line="276"/>
      </w:pPr>
      <w:r>
        <w:rPr>
          <w:rFonts w:ascii="Arial" w:cs="Arial" w:eastAsia="Arial" w:hAnsi="Arial"/>
          <w:sz w:val="22"/>
          <w:szCs w:val="22"/>
        </w:rPr>
        <w:t xml:space="preserve">Converts human-readable views into the matrices the BL formula needs:</w:t>
      </w:r>
    </w:p>
    <w:p>
      <w:pPr>
        <w:pStyle w:val="ListParagraph"/>
        <w:numPr>
          <w:ilvl w:val="0"/>
          <w:numId w:val="2"/>
        </w:numPr>
        <w:spacing w:after="60" w:line="276"/>
      </w:pPr>
      <w:r>
        <w:rPr>
          <w:rFonts w:ascii="Arial" w:cs="Arial" w:eastAsia="Arial" w:hAnsi="Arial"/>
          <w:b/>
          <w:bCs/>
          <w:sz w:val="22"/>
          <w:szCs w:val="22"/>
        </w:rPr>
        <w:t xml:space="preserve">P (pick matrix)</w:t>
      </w:r>
      <w:r>
        <w:rPr>
          <w:rFonts w:ascii="Arial" w:cs="Arial" w:eastAsia="Arial" w:hAnsi="Arial"/>
          <w:sz w:val="22"/>
          <w:szCs w:val="22"/>
        </w:rPr>
        <w:t xml:space="preserve"> — k x n matrix. Each row is a view. +1/n on long bonds, -1/n on short bonds.</w:t>
      </w:r>
    </w:p>
    <w:p>
      <w:pPr>
        <w:pStyle w:val="ListParagraph"/>
        <w:numPr>
          <w:ilvl w:val="0"/>
          <w:numId w:val="2"/>
        </w:numPr>
        <w:spacing w:after="60" w:line="276"/>
      </w:pPr>
      <w:r>
        <w:rPr>
          <w:rFonts w:ascii="Arial" w:cs="Arial" w:eastAsia="Arial" w:hAnsi="Arial"/>
          <w:b/>
          <w:bCs/>
          <w:sz w:val="22"/>
          <w:szCs w:val="22"/>
        </w:rPr>
        <w:t xml:space="preserve">Q (view returns)</w:t>
      </w:r>
      <w:r>
        <w:rPr>
          <w:rFonts w:ascii="Arial" w:cs="Arial" w:eastAsia="Arial" w:hAnsi="Arial"/>
          <w:sz w:val="22"/>
          <w:szCs w:val="22"/>
        </w:rPr>
        <w:t xml:space="preserve"> — k-vector of expected returns in decimal (e.g. 30bp = 0.003)</w:t>
      </w:r>
    </w:p>
    <w:p>
      <w:pPr>
        <w:pStyle w:val="ListParagraph"/>
        <w:numPr>
          <w:ilvl w:val="0"/>
          <w:numId w:val="2"/>
        </w:numPr>
        <w:spacing w:after="60" w:line="276"/>
      </w:pPr>
      <w:r>
        <w:rPr>
          <w:rFonts w:ascii="Arial" w:cs="Arial" w:eastAsia="Arial" w:hAnsi="Arial"/>
          <w:b/>
          <w:bCs/>
          <w:sz w:val="22"/>
          <w:szCs w:val="22"/>
        </w:rPr>
        <w:t xml:space="preserve">Omega (uncertainty)</w:t>
      </w:r>
      <w:r>
        <w:rPr>
          <w:rFonts w:ascii="Arial" w:cs="Arial" w:eastAsia="Arial" w:hAnsi="Arial"/>
          <w:sz w:val="22"/>
          <w:szCs w:val="22"/>
        </w:rPr>
        <w:t xml:space="preserve"> — k x k diagonal matrix. Uses Idzorek’s method: omega = tau * (p’ * Sigma * p) * (1/confidence - 1)</w:t>
      </w:r>
    </w:p>
    <w:p>
      <w:pPr>
        <w:spacing w:after="120" w:line="276"/>
      </w:pPr>
      <w:r>
        <w:rPr>
          <w:rFonts w:ascii="Arial" w:cs="Arial" w:eastAsia="Arial" w:hAnsi="Arial"/>
          <w:sz w:val="22"/>
          <w:szCs w:val="22"/>
        </w:rPr>
        <w:t xml:space="preserve">Higher confidence means smaller omega (less uncertainty), which means the view has more influence on the posterior.</w:t>
      </w:r>
    </w:p>
    <w:p>
      <w:pPr>
        <w:pStyle w:val="Heading3"/>
        <w:spacing w:after="150" w:before="300"/>
      </w:pPr>
      <w:r>
        <w:t xml:space="preserve">compute_posterior()</w:t>
      </w:r>
    </w:p>
    <w:p>
      <w:pPr>
        <w:spacing w:after="120" w:line="276"/>
      </w:pPr>
      <w:r>
        <w:rPr>
          <w:rFonts w:ascii="Arial" w:cs="Arial" w:eastAsia="Arial" w:hAnsi="Arial"/>
          <w:sz w:val="22"/>
          <w:szCs w:val="22"/>
        </w:rPr>
        <w:t xml:space="preserve">The Bayesian blend. This is the most important function:</w:t>
      </w:r>
    </w:p>
    <w:p>
      <w:pPr>
        <w:shd w:fill="F4F6F7" w:val="clear"/>
        <w:spacing w:after="40" w:line="240"/>
        <w:ind w:left="360"/>
      </w:pPr>
      <w:r>
        <w:rPr>
          <w:rFonts w:ascii="Consolas" w:cs="Consolas" w:eastAsia="Consolas" w:hAnsi="Consolas"/>
          <w:sz w:val="18"/>
          <w:szCs w:val="18"/>
        </w:rPr>
        <w:t xml:space="preserve"># Invert tau*Sigma (prior precision)</w:t>
      </w:r>
    </w:p>
    <w:p>
      <w:pPr>
        <w:shd w:fill="F4F6F7" w:val="clear"/>
        <w:spacing w:after="40" w:line="240"/>
        <w:ind w:left="360"/>
      </w:pPr>
      <w:r>
        <w:rPr>
          <w:rFonts w:ascii="Consolas" w:cs="Consolas" w:eastAsia="Consolas" w:hAnsi="Consolas"/>
          <w:sz w:val="18"/>
          <w:szCs w:val="18"/>
        </w:rPr>
        <w:t xml:space="preserve">tau_sigma_inv = inv(tau * Sigma + regularisation)</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Invert Omega (view precision)</w:t>
      </w:r>
    </w:p>
    <w:p>
      <w:pPr>
        <w:shd w:fill="F4F6F7" w:val="clear"/>
        <w:spacing w:after="40" w:line="240"/>
        <w:ind w:left="360"/>
      </w:pPr>
      <w:r>
        <w:rPr>
          <w:rFonts w:ascii="Consolas" w:cs="Consolas" w:eastAsia="Consolas" w:hAnsi="Consolas"/>
          <w:sz w:val="18"/>
          <w:szCs w:val="18"/>
        </w:rPr>
        <w:t xml:space="preserve">omega_inv = diag(1 / diag(Omega))</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Posterior precision = prior precision + view precision</w:t>
      </w:r>
    </w:p>
    <w:p>
      <w:pPr>
        <w:shd w:fill="F4F6F7" w:val="clear"/>
        <w:spacing w:after="40" w:line="240"/>
        <w:ind w:left="360"/>
      </w:pPr>
      <w:r>
        <w:rPr>
          <w:rFonts w:ascii="Consolas" w:cs="Consolas" w:eastAsia="Consolas" w:hAnsi="Consolas"/>
          <w:sz w:val="18"/>
          <w:szCs w:val="18"/>
        </w:rPr>
        <w:t xml:space="preserve">post_precision = tau_sigma_inv + P' * omega_inv * P</w:t>
      </w:r>
    </w:p>
    <w:p>
      <w:pPr>
        <w:shd w:fill="F4F6F7" w:val="clear"/>
        <w:spacing w:after="40" w:line="240"/>
        <w:ind w:left="360"/>
      </w:pPr>
      <w:r>
        <w:rPr>
          <w:rFonts w:ascii="Consolas" w:cs="Consolas" w:eastAsia="Consolas" w:hAnsi="Consolas"/>
          <w:sz w:val="18"/>
          <w:szCs w:val="18"/>
        </w:rPr>
        <w:t xml:space="preserve">post_cov = inv(post_precision)</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Posterior mean = weighted average of prior and views</w:t>
      </w:r>
    </w:p>
    <w:p>
      <w:pPr>
        <w:shd w:fill="F4F6F7" w:val="clear"/>
        <w:spacing w:after="40" w:line="240"/>
        <w:ind w:left="360"/>
      </w:pPr>
      <w:r>
        <w:rPr>
          <w:rFonts w:ascii="Consolas" w:cs="Consolas" w:eastAsia="Consolas" w:hAnsi="Consolas"/>
          <w:sz w:val="18"/>
          <w:szCs w:val="18"/>
        </w:rPr>
        <w:t xml:space="preserve">mu_BL = post_cov * (tau_sigma_inv * pi + P' * omega_inv * Q)</w:t>
      </w:r>
    </w:p>
    <w:p>
      <w:pPr>
        <w:spacing w:after="120" w:line="276"/>
      </w:pPr>
      <w:r>
        <w:rPr>
          <w:rFonts w:ascii="Arial" w:cs="Arial" w:eastAsia="Arial" w:hAnsi="Arial"/>
          <w:sz w:val="22"/>
          <w:szCs w:val="22"/>
        </w:rPr>
        <w:t xml:space="preserve">If no views are provided, it simply returns the equilibrium returns unchanged.</w:t>
      </w:r>
    </w:p>
    <w:p>
      <w:pPr>
        <w:pStyle w:val="Heading3"/>
        <w:spacing w:after="150" w:before="300"/>
      </w:pPr>
      <w:r>
        <w:t xml:space="preserve">optimise_portfolio()</w:t>
      </w:r>
    </w:p>
    <w:p>
      <w:pPr>
        <w:spacing w:after="120" w:line="276"/>
      </w:pPr>
      <w:r>
        <w:rPr>
          <w:rFonts w:ascii="Arial" w:cs="Arial" w:eastAsia="Arial" w:hAnsi="Arial"/>
          <w:sz w:val="22"/>
          <w:szCs w:val="22"/>
        </w:rPr>
        <w:t xml:space="preserve">Solves the constrained quadratic programme using cvxpy:</w:t>
      </w:r>
    </w:p>
    <w:p>
      <w:pPr>
        <w:shd w:fill="F4F6F7" w:val="clear"/>
        <w:spacing w:after="40" w:line="240"/>
        <w:ind w:left="360"/>
      </w:pPr>
      <w:r>
        <w:rPr>
          <w:rFonts w:ascii="Consolas" w:cs="Consolas" w:eastAsia="Consolas" w:hAnsi="Consolas"/>
          <w:sz w:val="18"/>
          <w:szCs w:val="18"/>
        </w:rPr>
        <w:t xml:space="preserve"># Decision variable</w:t>
      </w:r>
    </w:p>
    <w:p>
      <w:pPr>
        <w:shd w:fill="F4F6F7" w:val="clear"/>
        <w:spacing w:after="40" w:line="240"/>
        <w:ind w:left="360"/>
      </w:pPr>
      <w:r>
        <w:rPr>
          <w:rFonts w:ascii="Consolas" w:cs="Consolas" w:eastAsia="Consolas" w:hAnsi="Consolas"/>
          <w:sz w:val="18"/>
          <w:szCs w:val="18"/>
        </w:rPr>
        <w:t xml:space="preserve">w = cp.Variable(n)</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Objective: maximise return minus risk penalty</w:t>
      </w:r>
    </w:p>
    <w:p>
      <w:pPr>
        <w:shd w:fill="F4F6F7" w:val="clear"/>
        <w:spacing w:after="40" w:line="240"/>
        <w:ind w:left="360"/>
      </w:pPr>
      <w:r>
        <w:rPr>
          <w:rFonts w:ascii="Consolas" w:cs="Consolas" w:eastAsia="Consolas" w:hAnsi="Consolas"/>
          <w:sz w:val="18"/>
          <w:szCs w:val="18"/>
        </w:rPr>
        <w:t xml:space="preserve">objective = Maximize(w @ mu - (delta/2) * quad_form(w, Sigma))</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Constraints</w:t>
      </w:r>
    </w:p>
    <w:p>
      <w:pPr>
        <w:shd w:fill="F4F6F7" w:val="clear"/>
        <w:spacing w:after="40" w:line="240"/>
        <w:ind w:left="360"/>
      </w:pPr>
      <w:r>
        <w:rPr>
          <w:rFonts w:ascii="Consolas" w:cs="Consolas" w:eastAsia="Consolas" w:hAnsi="Consolas"/>
          <w:sz w:val="18"/>
          <w:szCs w:val="18"/>
        </w:rPr>
        <w:t xml:space="preserve">constraints = [</w:t>
      </w:r>
    </w:p>
    <w:p>
      <w:pPr>
        <w:shd w:fill="F4F6F7" w:val="clear"/>
        <w:spacing w:after="40" w:line="240"/>
        <w:ind w:left="360"/>
      </w:pPr>
      <w:r>
        <w:rPr>
          <w:rFonts w:ascii="Consolas" w:cs="Consolas" w:eastAsia="Consolas" w:hAnsi="Consolas"/>
          <w:sz w:val="18"/>
          <w:szCs w:val="18"/>
        </w:rPr>
        <w:t xml:space="preserve">    sum(w) == 1,               # fully invested</w:t>
      </w:r>
    </w:p>
    <w:p>
      <w:pPr>
        <w:shd w:fill="F4F6F7" w:val="clear"/>
        <w:spacing w:after="40" w:line="240"/>
        <w:ind w:left="360"/>
      </w:pPr>
      <w:r>
        <w:rPr>
          <w:rFonts w:ascii="Consolas" w:cs="Consolas" w:eastAsia="Consolas" w:hAnsi="Consolas"/>
          <w:sz w:val="18"/>
          <w:szCs w:val="18"/>
        </w:rPr>
        <w:t xml:space="preserve">    w &gt;= min_position_size,     # minimum weight per bond</w:t>
      </w:r>
    </w:p>
    <w:p>
      <w:pPr>
        <w:shd w:fill="F4F6F7" w:val="clear"/>
        <w:spacing w:after="40" w:line="240"/>
        <w:ind w:left="360"/>
      </w:pPr>
      <w:r>
        <w:rPr>
          <w:rFonts w:ascii="Consolas" w:cs="Consolas" w:eastAsia="Consolas" w:hAnsi="Consolas"/>
          <w:sz w:val="18"/>
          <w:szCs w:val="18"/>
        </w:rPr>
        <w:t xml:space="preserve">    w &lt;= max_issuer_weight,     # concentration limit</w:t>
      </w:r>
    </w:p>
    <w:p>
      <w:pPr>
        <w:shd w:fill="F4F6F7" w:val="clear"/>
        <w:spacing w:after="40" w:line="240"/>
        <w:ind w:left="360"/>
      </w:pPr>
      <w:r>
        <w:rPr>
          <w:rFonts w:ascii="Consolas" w:cs="Consolas" w:eastAsia="Consolas" w:hAnsi="Consolas"/>
          <w:sz w:val="18"/>
          <w:szCs w:val="18"/>
        </w:rPr>
        <w:t xml:space="preserve">    sector_bounds,              # sector +/- limits vs benchmark</w:t>
      </w:r>
    </w:p>
    <w:p>
      <w:pPr>
        <w:shd w:fill="F4F6F7" w:val="clear"/>
        <w:spacing w:after="40" w:line="240"/>
        <w:ind w:left="360"/>
      </w:pPr>
      <w:r>
        <w:rPr>
          <w:rFonts w:ascii="Consolas" w:cs="Consolas" w:eastAsia="Consolas" w:hAnsi="Consolas"/>
          <w:sz w:val="18"/>
          <w:szCs w:val="18"/>
        </w:rPr>
        <w:t xml:space="preserve">    spread_dur_bounds,          # SD close to benchmark</w:t>
      </w:r>
    </w:p>
    <w:p>
      <w:pPr>
        <w:shd w:fill="F4F6F7" w:val="clear"/>
        <w:spacing w:after="40" w:line="240"/>
        <w:ind w:left="360"/>
      </w:pPr>
      <w:r>
        <w:rPr>
          <w:rFonts w:ascii="Consolas" w:cs="Consolas" w:eastAsia="Consolas" w:hAnsi="Consolas"/>
          <w:sz w:val="18"/>
          <w:szCs w:val="18"/>
        </w:rPr>
        <w:t xml:space="preserve">    tracking_error &lt;= max_TE,   # risk budget</w:t>
      </w:r>
    </w:p>
    <w:p>
      <w:pPr>
        <w:shd w:fill="F4F6F7" w:val="clear"/>
        <w:spacing w:after="40" w:line="240"/>
        <w:ind w:left="360"/>
      </w:pPr>
      <w:r>
        <w:rPr>
          <w:rFonts w:ascii="Consolas" w:cs="Consolas" w:eastAsia="Consolas" w:hAnsi="Consolas"/>
          <w:sz w:val="18"/>
          <w:szCs w:val="18"/>
        </w:rPr>
        <w:t xml:space="preserve">]</w:t>
      </w:r>
    </w:p>
    <w:p>
      <w:pPr>
        <w:spacing w:after="120" w:line="276"/>
      </w:pPr>
      <w:r>
        <w:rPr>
          <w:rFonts w:ascii="Arial" w:cs="Arial" w:eastAsia="Arial" w:hAnsi="Arial"/>
          <w:sz w:val="22"/>
          <w:szCs w:val="22"/>
        </w:rPr>
        <w:t xml:space="preserve">It first tries the SCS solver, then falls back to ECOS. If both fail, it returns benchmark weights.</w:t>
      </w:r>
    </w:p>
    <w:p>
      <w:r>
        <w:br w:type="page"/>
      </w:r>
    </w:p>
    <w:p>
      <w:pPr>
        <w:pStyle w:val="Heading2"/>
        <w:spacing w:after="150" w:before="300"/>
      </w:pPr>
      <w:r>
        <w:t xml:space="preserve">4.3  risk_engine.py — Risk Analytics</w:t>
      </w:r>
    </w:p>
    <w:p>
      <w:pPr>
        <w:pStyle w:val="Heading3"/>
        <w:spacing w:after="150" w:before="300"/>
      </w:pPr>
      <w:r>
        <w:t xml:space="preserve">Covariance Estimation</w:t>
      </w:r>
    </w:p>
    <w:p>
      <w:pPr>
        <w:spacing w:after="120" w:line="276"/>
      </w:pPr>
      <w:r>
        <w:rPr>
          <w:rFonts w:ascii="Arial" w:cs="Arial" w:eastAsia="Arial" w:hAnsi="Arial"/>
          <w:sz w:val="22"/>
          <w:szCs w:val="22"/>
        </w:rPr>
        <w:t xml:space="preserve">Two methods are available:</w:t>
      </w:r>
    </w:p>
    <w:p>
      <w:pPr>
        <w:spacing w:after="120" w:line="276"/>
      </w:pPr>
      <w:r>
        <w:rPr>
          <w:rFonts w:ascii="Arial" w:cs="Arial" w:eastAsia="Arial" w:hAnsi="Arial"/>
          <w:b/>
          <w:bCs/>
          <w:sz w:val="22"/>
          <w:szCs w:val="22"/>
        </w:rPr>
        <w:t xml:space="preserve">Factor model (default)</w:t>
      </w:r>
      <w:r>
        <w:rPr>
          <w:rFonts w:ascii="Arial" w:cs="Arial" w:eastAsia="Arial" w:hAnsi="Arial"/>
          <w:sz w:val="22"/>
          <w:szCs w:val="22"/>
        </w:rPr>
        <w:t xml:space="preserve"> — decomposes return variance into systematic factors:</w:t>
      </w:r>
    </w:p>
    <w:p>
      <w:pPr>
        <w:pStyle w:val="ListParagraph"/>
        <w:numPr>
          <w:ilvl w:val="0"/>
          <w:numId w:val="2"/>
        </w:numPr>
        <w:spacing w:after="60" w:line="276"/>
      </w:pPr>
      <w:r>
        <w:rPr>
          <w:rFonts w:ascii="Arial" w:cs="Arial" w:eastAsia="Arial" w:hAnsi="Arial"/>
          <w:sz w:val="22"/>
          <w:szCs w:val="22"/>
        </w:rPr>
        <w:t xml:space="preserve">1 market factor (all bonds load equally)</w:t>
      </w:r>
    </w:p>
    <w:p>
      <w:pPr>
        <w:pStyle w:val="ListParagraph"/>
        <w:numPr>
          <w:ilvl w:val="0"/>
          <w:numId w:val="2"/>
        </w:numPr>
        <w:spacing w:after="60" w:line="276"/>
      </w:pPr>
      <w:r>
        <w:rPr>
          <w:rFonts w:ascii="Arial" w:cs="Arial" w:eastAsia="Arial" w:hAnsi="Arial"/>
          <w:sz w:val="22"/>
          <w:szCs w:val="22"/>
        </w:rPr>
        <w:t xml:space="preserve">11 sector factors (bonds load onto their sector)</w:t>
      </w:r>
    </w:p>
    <w:p>
      <w:pPr>
        <w:pStyle w:val="ListParagraph"/>
        <w:numPr>
          <w:ilvl w:val="0"/>
          <w:numId w:val="2"/>
        </w:numPr>
        <w:spacing w:after="60" w:line="276"/>
      </w:pPr>
      <w:r>
        <w:rPr>
          <w:rFonts w:ascii="Arial" w:cs="Arial" w:eastAsia="Arial" w:hAnsi="Arial"/>
          <w:sz w:val="22"/>
          <w:szCs w:val="22"/>
        </w:rPr>
        <w:t xml:space="preserve">4 rating factors (AAA, AA, A, BBB)</w:t>
      </w:r>
    </w:p>
    <w:p>
      <w:pPr>
        <w:pStyle w:val="ListParagraph"/>
        <w:numPr>
          <w:ilvl w:val="0"/>
          <w:numId w:val="2"/>
        </w:numPr>
        <w:spacing w:after="60" w:line="276"/>
      </w:pPr>
      <w:r>
        <w:rPr>
          <w:rFonts w:ascii="Arial" w:cs="Arial" w:eastAsia="Arial" w:hAnsi="Arial"/>
          <w:sz w:val="22"/>
          <w:szCs w:val="22"/>
        </w:rPr>
        <w:t xml:space="preserve">5 curve factors (1-3y, 3-5y, 5-7y, 7-10y, 10y+)</w:t>
      </w:r>
    </w:p>
    <w:p>
      <w:pPr>
        <w:spacing w:after="120" w:line="276"/>
      </w:pPr>
      <w:r>
        <w:rPr>
          <w:rFonts w:ascii="Arial" w:cs="Arial" w:eastAsia="Arial" w:hAnsi="Arial"/>
          <w:sz w:val="22"/>
          <w:szCs w:val="22"/>
        </w:rPr>
        <w:t xml:space="preserve">The formula is </w:t>
      </w:r>
      <w:r>
        <w:rPr>
          <w:rFonts w:ascii="Arial" w:cs="Arial" w:eastAsia="Arial" w:hAnsi="Arial"/>
          <w:b/>
          <w:bCs/>
          <w:sz w:val="22"/>
          <w:szCs w:val="22"/>
        </w:rPr>
        <w:t xml:space="preserve">Sigma = B * V * B’ + D</w:t>
      </w:r>
      <w:r>
        <w:rPr>
          <w:rFonts w:ascii="Arial" w:cs="Arial" w:eastAsia="Arial" w:hAnsi="Arial"/>
          <w:sz w:val="22"/>
          <w:szCs w:val="22"/>
        </w:rPr>
        <w:t xml:space="preserve">, where B is the factor loadings matrix, V is the factor covariance, and D is idiosyncratic (bond-specific) risk set at 35% of total variance.</w:t>
      </w:r>
    </w:p>
    <w:p>
      <w:pPr>
        <w:spacing w:after="120" w:line="276"/>
      </w:pPr>
      <w:r>
        <w:rPr>
          <w:rFonts w:ascii="Arial" w:cs="Arial" w:eastAsia="Arial" w:hAnsi="Arial"/>
          <w:b/>
          <w:bCs/>
          <w:sz w:val="22"/>
          <w:szCs w:val="22"/>
        </w:rPr>
        <w:t xml:space="preserve">Ledoit-Wolf shrinkage</w:t>
      </w:r>
      <w:r>
        <w:rPr>
          <w:rFonts w:ascii="Arial" w:cs="Arial" w:eastAsia="Arial" w:hAnsi="Arial"/>
          <w:sz w:val="22"/>
          <w:szCs w:val="22"/>
        </w:rPr>
        <w:t xml:space="preserve"> — builds a structured correlation matrix (sector + rating proximity), then shrinks it 30% toward a single-factor target to reduce estimation error.</w:t>
      </w:r>
    </w:p>
    <w:p>
      <w:pPr>
        <w:pStyle w:val="Heading3"/>
        <w:spacing w:after="150" w:before="300"/>
      </w:pPr>
      <w:r>
        <w:t xml:space="preserve">Monte Carlo Credit VaR</w:t>
      </w:r>
    </w:p>
    <w:p>
      <w:pPr>
        <w:spacing w:after="120" w:line="276"/>
      </w:pPr>
      <w:r>
        <w:rPr>
          <w:rFonts w:ascii="Arial" w:cs="Arial" w:eastAsia="Arial" w:hAnsi="Arial"/>
          <w:sz w:val="22"/>
          <w:szCs w:val="22"/>
        </w:rPr>
        <w:t xml:space="preserve">Simulates 50,000 credit loss scenarios in five steps:</w:t>
      </w:r>
    </w:p>
    <w:p>
      <w:pPr>
        <w:pStyle w:val="ListParagraph"/>
        <w:numPr>
          <w:ilvl w:val="0"/>
          <w:numId w:val="4"/>
        </w:numPr>
        <w:spacing w:after="80" w:line="276"/>
      </w:pPr>
      <w:r>
        <w:rPr>
          <w:rFonts w:ascii="Arial" w:cs="Arial" w:eastAsia="Arial" w:hAnsi="Arial"/>
          <w:b/>
          <w:bCs/>
          <w:sz w:val="22"/>
          <w:szCs w:val="22"/>
        </w:rPr>
        <w:t xml:space="preserve">Build correlation</w:t>
      </w:r>
      <w:r>
        <w:rPr>
          <w:rFonts w:ascii="Arial" w:cs="Arial" w:eastAsia="Arial" w:hAnsi="Arial"/>
          <w:sz w:val="22"/>
          <w:szCs w:val="22"/>
        </w:rPr>
        <w:t xml:space="preserve"> — same sector = 0.50 correlation, cross-sector = 0.20</w:t>
      </w:r>
    </w:p>
    <w:p>
      <w:pPr>
        <w:pStyle w:val="ListParagraph"/>
        <w:numPr>
          <w:ilvl w:val="0"/>
          <w:numId w:val="4"/>
        </w:numPr>
        <w:spacing w:after="80" w:line="276"/>
      </w:pPr>
      <w:r>
        <w:rPr>
          <w:rFonts w:ascii="Arial" w:cs="Arial" w:eastAsia="Arial" w:hAnsi="Arial"/>
          <w:b/>
          <w:bCs/>
          <w:sz w:val="22"/>
          <w:szCs w:val="22"/>
        </w:rPr>
        <w:t xml:space="preserve">Cholesky decomposition</w:t>
      </w:r>
      <w:r>
        <w:rPr>
          <w:rFonts w:ascii="Arial" w:cs="Arial" w:eastAsia="Arial" w:hAnsi="Arial"/>
          <w:sz w:val="22"/>
          <w:szCs w:val="22"/>
        </w:rPr>
        <w:t xml:space="preserve"> — converts correlation into a matrix L for generating correlated random draws</w:t>
      </w:r>
    </w:p>
    <w:p>
      <w:pPr>
        <w:pStyle w:val="ListParagraph"/>
        <w:numPr>
          <w:ilvl w:val="0"/>
          <w:numId w:val="4"/>
        </w:numPr>
        <w:spacing w:after="80" w:line="276"/>
      </w:pPr>
      <w:r>
        <w:rPr>
          <w:rFonts w:ascii="Arial" w:cs="Arial" w:eastAsia="Arial" w:hAnsi="Arial"/>
          <w:b/>
          <w:bCs/>
          <w:sz w:val="22"/>
          <w:szCs w:val="22"/>
        </w:rPr>
        <w:t xml:space="preserve">Set thresholds</w:t>
      </w:r>
      <w:r>
        <w:rPr>
          <w:rFonts w:ascii="Arial" w:cs="Arial" w:eastAsia="Arial" w:hAnsi="Arial"/>
          <w:sz w:val="22"/>
          <w:szCs w:val="22"/>
        </w:rPr>
        <w:t xml:space="preserve"> — default threshold from PD via normal inverse; downgrade threshold from the transition matrix</w:t>
      </w:r>
    </w:p>
    <w:p>
      <w:pPr>
        <w:pStyle w:val="ListParagraph"/>
        <w:numPr>
          <w:ilvl w:val="0"/>
          <w:numId w:val="4"/>
        </w:numPr>
        <w:spacing w:after="80" w:line="276"/>
      </w:pPr>
      <w:r>
        <w:rPr>
          <w:rFonts w:ascii="Arial" w:cs="Arial" w:eastAsia="Arial" w:hAnsi="Arial"/>
          <w:b/>
          <w:bCs/>
          <w:sz w:val="22"/>
          <w:szCs w:val="22"/>
        </w:rPr>
        <w:t xml:space="preserve">Simulate</w:t>
      </w:r>
      <w:r>
        <w:rPr>
          <w:rFonts w:ascii="Arial" w:cs="Arial" w:eastAsia="Arial" w:hAnsi="Arial"/>
          <w:sz w:val="22"/>
          <w:szCs w:val="22"/>
        </w:rPr>
        <w:t xml:space="preserve"> — for each of 50,000 scenarios, draw correlated normals. If Z &lt; default threshold, the bond defaults (loss = weight x LGD). If Z &lt; downgrade threshold, it suffers a spread widening loss.</w:t>
      </w:r>
    </w:p>
    <w:p>
      <w:pPr>
        <w:pStyle w:val="ListParagraph"/>
        <w:numPr>
          <w:ilvl w:val="0"/>
          <w:numId w:val="4"/>
        </w:numPr>
        <w:spacing w:after="80" w:line="276"/>
      </w:pPr>
      <w:r>
        <w:rPr>
          <w:rFonts w:ascii="Arial" w:cs="Arial" w:eastAsia="Arial" w:hAnsi="Arial"/>
          <w:b/>
          <w:bCs/>
          <w:sz w:val="22"/>
          <w:szCs w:val="22"/>
        </w:rPr>
        <w:t xml:space="preserve">Compute VaR/CVaR</w:t>
      </w:r>
      <w:r>
        <w:rPr>
          <w:rFonts w:ascii="Arial" w:cs="Arial" w:eastAsia="Arial" w:hAnsi="Arial"/>
          <w:sz w:val="22"/>
          <w:szCs w:val="22"/>
        </w:rPr>
        <w:t xml:space="preserve"> — sort losses, VaR = 99th percentile, CVaR = average of losses beyond VaR</w:t>
      </w:r>
    </w:p>
    <w:p>
      <w:pPr>
        <w:pStyle w:val="Heading3"/>
        <w:spacing w:after="150" w:before="300"/>
      </w:pPr>
      <w:r>
        <w:t xml:space="preserve">Rating Migration Loss</w:t>
      </w:r>
    </w:p>
    <w:p>
      <w:pPr>
        <w:spacing w:after="120" w:line="276"/>
      </w:pPr>
      <w:r>
        <w:rPr>
          <w:rFonts w:ascii="Arial" w:cs="Arial" w:eastAsia="Arial" w:hAnsi="Arial"/>
          <w:sz w:val="22"/>
          <w:szCs w:val="22"/>
        </w:rPr>
        <w:t xml:space="preserve">Uses a simplified Moody’s-style transition matrix. For each bond, it calculates the probability-weighted spread change across all possible migration paths:</w:t>
      </w:r>
    </w:p>
    <w:p>
      <w:pPr>
        <w:shd w:fill="F4F6F7" w:val="clear"/>
        <w:spacing w:after="40" w:line="240"/>
        <w:ind w:left="360"/>
      </w:pPr>
      <w:r>
        <w:rPr>
          <w:rFonts w:ascii="Consolas" w:cs="Consolas" w:eastAsia="Consolas" w:hAnsi="Consolas"/>
          <w:sz w:val="18"/>
          <w:szCs w:val="18"/>
        </w:rPr>
        <w:t xml:space="preserve">for each destination rating j:</w:t>
      </w:r>
    </w:p>
    <w:p>
      <w:pPr>
        <w:shd w:fill="F4F6F7" w:val="clear"/>
        <w:spacing w:after="40" w:line="240"/>
        <w:ind w:left="360"/>
      </w:pPr>
      <w:r>
        <w:rPr>
          <w:rFonts w:ascii="Consolas" w:cs="Consolas" w:eastAsia="Consolas" w:hAnsi="Consolas"/>
          <w:sz w:val="18"/>
          <w:szCs w:val="18"/>
        </w:rPr>
        <w:t xml:space="preserve">    loss += P(migrate to j) * spread_change(current -&gt; j) * spread_duration</w:t>
      </w:r>
    </w:p>
    <w:p>
      <w:pPr>
        <w:pBdr>
          <w:bottom w:val="single" w:color="AED6F1" w:sz="4" w:space="1"/>
        </w:pBdr>
        <w:spacing w:after="200" w:before="200"/>
      </w:pPr>
    </w:p>
    <w:p>
      <w:pPr>
        <w:pStyle w:val="Heading2"/>
        <w:spacing w:after="150" w:before="300"/>
      </w:pPr>
      <w:r>
        <w:t xml:space="preserve">4.4  utils.py — Utility Functions</w:t>
      </w:r>
    </w:p>
    <w:p>
      <w:pPr>
        <w:pStyle w:val="Heading3"/>
        <w:spacing w:after="150" w:before="300"/>
      </w:pPr>
      <w:r>
        <w:t xml:space="preserve">YTM Solver (Newton-Raphson)</w:t>
      </w:r>
    </w:p>
    <w:p>
      <w:pPr>
        <w:spacing w:after="120" w:line="276"/>
      </w:pPr>
      <w:r>
        <w:rPr>
          <w:rFonts w:ascii="Arial" w:cs="Arial" w:eastAsia="Arial" w:hAnsi="Arial"/>
          <w:sz w:val="22"/>
          <w:szCs w:val="22"/>
        </w:rPr>
        <w:t xml:space="preserve">When a file provides coupon rate, price, and maturity but no yield, the system calculates YTM by finding the discount rate that makes the present value of all cash flows equal to the market price. It uses Newton-Raphson iteration (up to 200 steps) for fast convergence.</w:t>
      </w:r>
    </w:p>
    <w:p>
      <w:pPr>
        <w:pStyle w:val="Heading3"/>
        <w:spacing w:after="150" w:before="300"/>
      </w:pPr>
      <w:r>
        <w:t xml:space="preserve">Column Resolution</w:t>
      </w:r>
    </w:p>
    <w:p>
      <w:pPr>
        <w:spacing w:after="120" w:line="276"/>
      </w:pPr>
      <w:r>
        <w:rPr>
          <w:rFonts w:ascii="Arial" w:cs="Arial" w:eastAsia="Arial" w:hAnsi="Arial"/>
          <w:sz w:val="22"/>
          <w:szCs w:val="22"/>
        </w:rPr>
        <w:t xml:space="preserve">Users upload files with many different column naming conventions. The system maintains a dictionary of aliases:</w:t>
      </w:r>
    </w:p>
    <w:p>
      <w:pPr>
        <w:shd w:fill="F4F6F7" w:val="clear"/>
        <w:spacing w:after="40" w:line="240"/>
        <w:ind w:left="360"/>
      </w:pPr>
      <w:r>
        <w:rPr>
          <w:rFonts w:ascii="Consolas" w:cs="Consolas" w:eastAsia="Consolas" w:hAnsi="Consolas"/>
          <w:sz w:val="18"/>
          <w:szCs w:val="18"/>
        </w:rPr>
        <w:t xml:space="preserve">"oas": ["oas", "option_adjusted_spread", "spread", "z_spread", ...]</w:t>
      </w:r>
    </w:p>
    <w:p>
      <w:pPr>
        <w:shd w:fill="F4F6F7" w:val="clear"/>
        <w:spacing w:after="40" w:line="240"/>
        <w:ind w:left="360"/>
      </w:pPr>
      <w:r>
        <w:rPr>
          <w:rFonts w:ascii="Consolas" w:cs="Consolas" w:eastAsia="Consolas" w:hAnsi="Consolas"/>
          <w:sz w:val="18"/>
          <w:szCs w:val="18"/>
        </w:rPr>
        <w:t xml:space="preserve">"rating": ["rating", "credit_rating", "sp_rating", "moody_rating", ...]</w:t>
      </w:r>
    </w:p>
    <w:p>
      <w:pPr>
        <w:spacing w:after="120" w:line="276"/>
      </w:pPr>
      <w:r>
        <w:rPr>
          <w:rFonts w:ascii="Arial" w:cs="Arial" w:eastAsia="Arial" w:hAnsi="Arial"/>
          <w:sz w:val="22"/>
          <w:szCs w:val="22"/>
        </w:rPr>
        <w:t xml:space="preserve">It normalises uploaded column names to lowercase with underscores, then matches against these aliases to find the canonical field.</w:t>
      </w:r>
    </w:p>
    <w:p>
      <w:pPr>
        <w:pStyle w:val="Heading3"/>
        <w:spacing w:after="150" w:before="300"/>
      </w:pPr>
      <w:r>
        <w:t xml:space="preserve">OAS Estimation</w:t>
      </w:r>
    </w:p>
    <w:p>
      <w:pPr>
        <w:spacing w:after="120" w:line="276"/>
      </w:pPr>
      <w:r>
        <w:rPr>
          <w:rFonts w:ascii="Arial" w:cs="Arial" w:eastAsia="Arial" w:hAnsi="Arial"/>
          <w:sz w:val="22"/>
          <w:szCs w:val="22"/>
        </w:rPr>
        <w:t xml:space="preserve">When OAS is missing but YTM is available, the system estimates it by subtracting a rough risk-free proxy (4.0–4.5% depending on maturity) and comparing against typical spreads for the bond’s rating.</w:t>
      </w:r>
    </w:p>
    <w:p>
      <w:r>
        <w:br w:type="page"/>
      </w:r>
    </w:p>
    <w:p>
      <w:pPr>
        <w:pStyle w:val="Heading2"/>
        <w:spacing w:after="150" w:before="300"/>
      </w:pPr>
      <w:r>
        <w:t xml:space="preserve">4.5  models.py — Data Schemas</w:t>
      </w:r>
    </w:p>
    <w:p>
      <w:pPr>
        <w:spacing w:after="120" w:line="276"/>
      </w:pPr>
      <w:r>
        <w:rPr>
          <w:rFonts w:ascii="Arial" w:cs="Arial" w:eastAsia="Arial" w:hAnsi="Arial"/>
          <w:sz w:val="22"/>
          <w:szCs w:val="22"/>
        </w:rPr>
        <w:t xml:space="preserve">Defines the data structures for the API using Pydantic. Every request and response is validated automatically.</w:t>
      </w:r>
    </w:p>
    <w:p>
      <w:pPr>
        <w:pStyle w:val="Heading3"/>
        <w:spacing w:after="150" w:before="300"/>
      </w:pPr>
      <w:r>
        <w:t xml:space="preserve">Key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5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Fields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For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BondData</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 issuer, sector, rating, oas, spread_duration, pd_annual, lgd, mkt_value, maturity_bucket, ytm, coupon_rate, maturity_date, face_value, market_price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Bond input to optimisation</w:t>
            </w:r>
          </w:p>
        </w:tc>
      </w:tr>
      <w:tr>
        <w:tc>
          <w:tcPr>
            <w:tcW w:type="dxa" w:w="18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ViewInput</w:t>
            </w:r>
          </w:p>
        </w:tc>
        <w:tc>
          <w:tcPr>
            <w:tcW w:type="dxa" w:w="5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view_type (ABSOLUTE/RELATIVE), long_assets, short_assets, magnitude_bp, confidence</w:t>
            </w:r>
          </w:p>
        </w:tc>
        <w:tc>
          <w:tcPr>
            <w:tcW w:type="dxa" w:w="25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Manager’s return views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Constraints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max_issuer_weight, min_position_size, max_sector_overweight, max_tracking_error, spread_duration_tolerance, excluded_issuers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Portfolio constraints</w:t>
            </w:r>
          </w:p>
        </w:tc>
      </w:tr>
      <w:tr>
        <w:tc>
          <w:tcPr>
            <w:tcW w:type="dxa" w:w="18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RiskMetrics</w:t>
            </w:r>
          </w:p>
        </w:tc>
        <w:tc>
          <w:tcPr>
            <w:tcW w:type="dxa" w:w="50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portfolio_return_bp, portfolio_vol_bp, sharpe_ratio, tracking_error_bp, information_ratio, expected_loss_bp, spread_duration, dts, credit_var_99_bp, credit_cvar_99_bp</w:t>
            </w:r>
          </w:p>
        </w:tc>
        <w:tc>
          <w:tcPr>
            <w:tcW w:type="dxa" w:w="25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Output risk analytics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ParsedBond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as BondData but from file upload with estimated/calculated fields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Upload response</w:t>
            </w:r>
          </w:p>
        </w:tc>
      </w:tr>
    </w:tbl>
    <w:p>
      <w:r>
        <w:br w:type="page"/>
      </w:r>
    </w:p>
    <w:p>
      <w:pPr>
        <w:pStyle w:val="Heading1"/>
        <w:spacing w:after="150" w:before="300"/>
      </w:pPr>
      <w:r>
        <w:t xml:space="preserve">5. Frontend Overview</w:t>
      </w:r>
    </w:p>
    <w:p>
      <w:pPr>
        <w:spacing w:after="120" w:line="276"/>
      </w:pPr>
      <w:r>
        <w:rPr>
          <w:rFonts w:ascii="Arial" w:cs="Arial" w:eastAsia="Arial" w:hAnsi="Arial"/>
          <w:sz w:val="22"/>
          <w:szCs w:val="22"/>
        </w:rPr>
        <w:t xml:space="preserve">The React app (src/App.jsx) is a single-page application with three tabs:</w:t>
      </w:r>
    </w:p>
    <w:p>
      <w:pPr>
        <w:pStyle w:val="Heading3"/>
        <w:spacing w:after="150" w:before="300"/>
      </w:pPr>
      <w:r>
        <w:t xml:space="preserve">Universe Tab</w:t>
      </w:r>
    </w:p>
    <w:p>
      <w:pPr>
        <w:spacing w:after="120" w:line="276"/>
      </w:pPr>
      <w:r>
        <w:rPr>
          <w:rFonts w:ascii="Arial" w:cs="Arial" w:eastAsia="Arial" w:hAnsi="Arial"/>
          <w:sz w:val="22"/>
          <w:szCs w:val="22"/>
        </w:rPr>
        <w:t xml:space="preserve">Displays the bond universe in a sortable table showing ticker, issuer, sector, rating, OAS, spread duration, PD, and benchmark weight. When connected to the backend, a file upload panel allows loading custom bond data from CSV, TXT, or Excel files.</w:t>
      </w:r>
    </w:p>
    <w:p>
      <w:pPr>
        <w:pStyle w:val="Heading3"/>
        <w:spacing w:after="150" w:before="300"/>
      </w:pPr>
      <w:r>
        <w:t xml:space="preserve">Views Tab</w:t>
      </w:r>
    </w:p>
    <w:p>
      <w:pPr>
        <w:spacing w:after="120" w:line="276"/>
      </w:pPr>
      <w:r>
        <w:rPr>
          <w:rFonts w:ascii="Arial" w:cs="Arial" w:eastAsia="Arial" w:hAnsi="Arial"/>
          <w:sz w:val="22"/>
          <w:szCs w:val="22"/>
        </w:rPr>
        <w:t xml:space="preserve">Lets the manager add, edit, and remove return views. Each view specifies a type (absolute or relative), the bonds involved, the expected magnitude in basis points, and a confidence slider (5–100%).</w:t>
      </w:r>
    </w:p>
    <w:p>
      <w:pPr>
        <w:pStyle w:val="Heading3"/>
        <w:spacing w:after="150" w:before="300"/>
      </w:pPr>
      <w:r>
        <w:t xml:space="preserve">Results Tab</w:t>
      </w:r>
    </w:p>
    <w:p>
      <w:pPr>
        <w:spacing w:after="120" w:line="276"/>
      </w:pPr>
      <w:r>
        <w:rPr>
          <w:rFonts w:ascii="Arial" w:cs="Arial" w:eastAsia="Arial" w:hAnsi="Arial"/>
          <w:sz w:val="22"/>
          <w:szCs w:val="22"/>
        </w:rPr>
        <w:t xml:space="preserve">After running optimisation, displays:</w:t>
      </w:r>
    </w:p>
    <w:p>
      <w:pPr>
        <w:pStyle w:val="ListParagraph"/>
        <w:numPr>
          <w:ilvl w:val="0"/>
          <w:numId w:val="2"/>
        </w:numPr>
        <w:spacing w:after="60" w:line="276"/>
      </w:pPr>
      <w:r>
        <w:rPr>
          <w:rFonts w:ascii="Arial" w:cs="Arial" w:eastAsia="Arial" w:hAnsi="Arial"/>
          <w:sz w:val="22"/>
          <w:szCs w:val="22"/>
        </w:rPr>
        <w:t xml:space="preserve">8 metric cards (return, risk, Sharpe, TE, IR, expected loss, spread duration, Credit VaR)</w:t>
      </w:r>
    </w:p>
    <w:p>
      <w:pPr>
        <w:pStyle w:val="ListParagraph"/>
        <w:numPr>
          <w:ilvl w:val="0"/>
          <w:numId w:val="2"/>
        </w:numPr>
        <w:spacing w:after="60" w:line="276"/>
      </w:pPr>
      <w:r>
        <w:rPr>
          <w:rFonts w:ascii="Arial" w:cs="Arial" w:eastAsia="Arial" w:hAnsi="Arial"/>
          <w:sz w:val="22"/>
          <w:szCs w:val="22"/>
        </w:rPr>
        <w:t xml:space="preserve">Active weights bar chart (green = overweight, red = underweight)</w:t>
      </w:r>
    </w:p>
    <w:p>
      <w:pPr>
        <w:pStyle w:val="ListParagraph"/>
        <w:numPr>
          <w:ilvl w:val="0"/>
          <w:numId w:val="2"/>
        </w:numPr>
        <w:spacing w:after="60" w:line="276"/>
      </w:pPr>
      <w:r>
        <w:rPr>
          <w:rFonts w:ascii="Arial" w:cs="Arial" w:eastAsia="Arial" w:hAnsi="Arial"/>
          <w:sz w:val="22"/>
          <w:szCs w:val="22"/>
        </w:rPr>
        <w:t xml:space="preserve">Sector and rating allocation charts (optimal vs benchmark)</w:t>
      </w:r>
    </w:p>
    <w:p>
      <w:pPr>
        <w:pStyle w:val="ListParagraph"/>
        <w:numPr>
          <w:ilvl w:val="0"/>
          <w:numId w:val="2"/>
        </w:numPr>
        <w:spacing w:after="60" w:line="276"/>
      </w:pPr>
      <w:r>
        <w:rPr>
          <w:rFonts w:ascii="Arial" w:cs="Arial" w:eastAsia="Arial" w:hAnsi="Arial"/>
          <w:sz w:val="22"/>
          <w:szCs w:val="22"/>
        </w:rPr>
        <w:t xml:space="preserve">Equilibrium vs posterior return comparison</w:t>
      </w:r>
    </w:p>
    <w:p>
      <w:pPr>
        <w:pStyle w:val="ListParagraph"/>
        <w:numPr>
          <w:ilvl w:val="0"/>
          <w:numId w:val="2"/>
        </w:numPr>
        <w:spacing w:after="60" w:line="276"/>
      </w:pPr>
      <w:r>
        <w:rPr>
          <w:rFonts w:ascii="Arial" w:cs="Arial" w:eastAsia="Arial" w:hAnsi="Arial"/>
          <w:sz w:val="22"/>
          <w:szCs w:val="22"/>
        </w:rPr>
        <w:t xml:space="preserve">Risk-return scatter plot (bubble size = optimal weight, colour = sector)</w:t>
      </w:r>
    </w:p>
    <w:p>
      <w:pPr>
        <w:pStyle w:val="Heading3"/>
        <w:spacing w:after="150" w:before="300"/>
      </w:pPr>
      <w:r>
        <w:t xml:space="preserve">Dual Engine Mode</w:t>
      </w:r>
    </w:p>
    <w:p>
      <w:pPr>
        <w:spacing w:after="120" w:line="276"/>
      </w:pPr>
      <w:r>
        <w:rPr>
          <w:rFonts w:ascii="Arial" w:cs="Arial" w:eastAsia="Arial" w:hAnsi="Arial"/>
          <w:sz w:val="22"/>
          <w:szCs w:val="22"/>
        </w:rPr>
        <w:t xml:space="preserve">When </w:t>
      </w:r>
      <w:r>
        <w:rPr>
          <w:rFonts w:ascii="Consolas" w:cs="Consolas" w:eastAsia="Consolas" w:hAnsi="Consolas"/>
          <w:sz w:val="20"/>
          <w:szCs w:val="20"/>
          <w:shd w:fill="F4F6F7" w:val="clear"/>
        </w:rPr>
        <w:t xml:space="preserve">VITE_API_URL</w:t>
      </w:r>
      <w:r>
        <w:rPr>
          <w:rFonts w:ascii="Arial" w:cs="Arial" w:eastAsia="Arial" w:hAnsi="Arial"/>
          <w:sz w:val="22"/>
          <w:szCs w:val="22"/>
        </w:rPr>
        <w:t xml:space="preserve"> is set at build time, the app defaults to the Python backend (with cvxpy and Monte Carlo). A toggle in the header lets the user switch to the browser JS engine. If the backend call fails, the app automatically falls back to JS.</w:t>
      </w:r>
    </w:p>
    <w:p>
      <w:pPr>
        <w:pBdr>
          <w:bottom w:val="single" w:color="AED6F1" w:sz="4" w:space="1"/>
        </w:pBdr>
        <w:spacing w:after="200" w:before="200"/>
      </w:pPr>
    </w:p>
    <w:p>
      <w:pPr>
        <w:pStyle w:val="Heading1"/>
        <w:spacing w:after="150" w:before="300"/>
      </w:pPr>
      <w:r>
        <w:t xml:space="preserve">6.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OAS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Option-Adjusted Spread — the yield premium over risk-free rates, in basis points (bp)</w:t>
            </w:r>
          </w:p>
        </w:tc>
      </w:tr>
      <w:tr>
        <w:tc>
          <w:tcPr>
            <w:tcW w:type="dxa" w:w="25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Spread Duration</w:t>
            </w:r>
          </w:p>
        </w:tc>
        <w:tc>
          <w:tcPr>
            <w:tcW w:type="dxa" w:w="68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Sensitivity of bond price to a 1bp change in credit spread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Duration Times Spread — OAS x spread duration; a risk measure</w:t>
            </w:r>
          </w:p>
        </w:tc>
      </w:tr>
      <w:tr>
        <w:tc>
          <w:tcPr>
            <w:tcW w:type="dxa" w:w="25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PD</w:t>
            </w:r>
          </w:p>
        </w:tc>
        <w:tc>
          <w:tcPr>
            <w:tcW w:type="dxa" w:w="68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Probability of Default — annual likelihood the issuer fails to pay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LGD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Loss Given Default — fraction of value lost if default occurs (typically 40%)</w:t>
            </w:r>
          </w:p>
        </w:tc>
      </w:tr>
      <w:tr>
        <w:tc>
          <w:tcPr>
            <w:tcW w:type="dxa" w:w="25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Tracking Error</w:t>
            </w:r>
          </w:p>
        </w:tc>
        <w:tc>
          <w:tcPr>
            <w:tcW w:type="dxa" w:w="68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Volatility of the difference between portfolio and benchmark returns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Information Ratio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return divided by tracking error; measures skill</w:t>
            </w:r>
          </w:p>
        </w:tc>
      </w:tr>
      <w:tr>
        <w:tc>
          <w:tcPr>
            <w:tcW w:type="dxa" w:w="25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Credit VaR</w:t>
            </w:r>
          </w:p>
        </w:tc>
        <w:tc>
          <w:tcPr>
            <w:tcW w:type="dxa" w:w="68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Value at Risk — maximum expected loss at 99% confidence over 1 year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CVaR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Conditional VaR — average loss in the worst 1% of scenarios</w:t>
            </w:r>
          </w:p>
        </w:tc>
      </w:tr>
      <w:tr>
        <w:tc>
          <w:tcPr>
            <w:tcW w:type="dxa" w:w="25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Tau</w:t>
            </w:r>
          </w:p>
        </w:tc>
        <w:tc>
          <w:tcPr>
            <w:tcW w:type="dxa" w:w="686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Scalar (typically 0.025) controlling trust in the equilibrium prior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Delta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aversion coefficient (typically 2.5) in the mean-variance objective</w:t>
            </w:r>
          </w:p>
        </w:tc>
      </w:tr>
    </w:tbl>
    <w:p>
      <w:pPr>
        <w:spacing w:after="400"/>
      </w:pPr>
    </w:p>
    <w:p>
      <w:pPr>
        <w:pStyle w:val="Heading1"/>
        <w:spacing w:after="150" w:before="300"/>
      </w:pPr>
      <w:r>
        <w:t xml:space="preserve">7. Deployment &amp; Configuration</w:t>
      </w:r>
    </w:p>
    <w:p>
      <w:pPr>
        <w:spacing w:after="120" w:line="276"/>
      </w:pPr>
      <w:r>
        <w:rPr>
          <w:rFonts w:ascii="Arial" w:cs="Arial" w:eastAsia="Arial" w:hAnsi="Arial"/>
          <w:sz w:val="22"/>
          <w:szCs w:val="22"/>
        </w:rPr>
        <w:t xml:space="preserve">Both services are deployed on Render with GitHub auto-deploy: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Frontend</w:t>
            </w:r>
          </w:p>
        </w:tc>
        <w:tc>
          <w:tcPr>
            <w:tcW w:type="dxa" w:w="35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Backend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Platform</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 Static Site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Render Web Service</w:t>
            </w:r>
          </w:p>
        </w:tc>
      </w:tr>
      <w:tr>
        <w:tc>
          <w:tcPr>
            <w:tcW w:type="dxa" w:w="22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Build command</w:t>
            </w:r>
          </w:p>
        </w:tc>
        <w:tc>
          <w:tcPr>
            <w:tcW w:type="dxa" w:w="358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npm run build</w:t>
            </w:r>
          </w:p>
        </w:tc>
        <w:tc>
          <w:tcPr>
            <w:tcW w:type="dxa" w:w="358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pip install -r requirements.txt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command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(static)</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gunicorn main:app --workers 2 --worker-class uvicorn.workers.UvicornWorker</w:t>
            </w:r>
          </w:p>
        </w:tc>
      </w:tr>
      <w:tr>
        <w:tc>
          <w:tcPr>
            <w:tcW w:type="dxa" w:w="220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Key env var</w:t>
            </w:r>
          </w:p>
        </w:tc>
        <w:tc>
          <w:tcPr>
            <w:tcW w:type="dxa" w:w="358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VITE_API_URL = backend URL</w:t>
            </w:r>
          </w:p>
        </w:tc>
        <w:tc>
          <w:tcPr>
            <w:tcW w:type="dxa" w:w="3580"/>
            <w:tcBorders>
              <w:top w:val="single" w:color="CCCCCC" w:sz="1"/>
              <w:left w:val="single" w:color="CCCCCC" w:sz="1"/>
              <w:bottom w:val="single" w:color="CCCCCC" w:sz="1"/>
              <w:right w:val="single" w:color="CCCCCC" w:sz="1"/>
            </w:tcBorders>
            <w:shd w:fill="F8F9F9" w:val="clear"/>
            <w:tcMar>
              <w:top w:type="dxa" w:w="60"/>
              <w:left w:type="dxa" w:w="100"/>
              <w:bottom w:type="dxa" w:w="60"/>
              <w:right w:type="dxa" w:w="100"/>
            </w:tcMar>
          </w:tcPr>
          <w:p>
            <w:r>
              <w:rPr>
                <w:rFonts w:ascii="Arial" w:cs="Arial" w:eastAsia="Arial" w:hAnsi="Arial"/>
                <w:sz w:val="20"/>
                <w:szCs w:val="20"/>
              </w:rPr>
              <w:t xml:space="preserve">ALLOWED_ORIGINS = frontend URL</w:t>
            </w:r>
          </w:p>
        </w:tc>
      </w:tr>
    </w:tbl>
    <w:p>
      <w:pPr>
        <w:spacing w:after="200"/>
      </w:pPr>
    </w:p>
    <w:p>
      <w:pPr>
        <w:spacing w:after="120" w:line="276"/>
      </w:pPr>
      <w:r>
        <w:rPr>
          <w:rFonts w:ascii="Arial" w:cs="Arial" w:eastAsia="Arial" w:hAnsi="Arial"/>
          <w:b/>
          <w:bCs/>
          <w:sz w:val="22"/>
          <w:szCs w:val="22"/>
        </w:rPr>
        <w:t xml:space="preserve">Local development:</w:t>
      </w:r>
    </w:p>
    <w:p>
      <w:pPr>
        <w:shd w:fill="F4F6F7" w:val="clear"/>
        <w:spacing w:after="40" w:line="240"/>
        <w:ind w:left="360"/>
      </w:pPr>
      <w:r>
        <w:rPr>
          <w:rFonts w:ascii="Consolas" w:cs="Consolas" w:eastAsia="Consolas" w:hAnsi="Consolas"/>
          <w:sz w:val="18"/>
          <w:szCs w:val="18"/>
        </w:rPr>
        <w:t xml:space="preserve"># Frontend (terminal 1)</w:t>
      </w:r>
    </w:p>
    <w:p>
      <w:pPr>
        <w:shd w:fill="F4F6F7" w:val="clear"/>
        <w:spacing w:after="40" w:line="240"/>
        <w:ind w:left="360"/>
      </w:pPr>
      <w:r>
        <w:rPr>
          <w:rFonts w:ascii="Consolas" w:cs="Consolas" w:eastAsia="Consolas" w:hAnsi="Consolas"/>
          <w:sz w:val="18"/>
          <w:szCs w:val="18"/>
        </w:rPr>
        <w:t xml:space="preserve">npm install &amp;&amp; npm run dev</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Backend (terminal 2)</w:t>
      </w:r>
    </w:p>
    <w:p>
      <w:pPr>
        <w:shd w:fill="F4F6F7" w:val="clear"/>
        <w:spacing w:after="40" w:line="240"/>
        <w:ind w:left="360"/>
      </w:pPr>
      <w:r>
        <w:rPr>
          <w:rFonts w:ascii="Consolas" w:cs="Consolas" w:eastAsia="Consolas" w:hAnsi="Consolas"/>
          <w:sz w:val="18"/>
          <w:szCs w:val="18"/>
        </w:rPr>
        <w:t xml:space="preserve">cd backend &amp;&amp; pip install -r requirements.txt</w:t>
      </w:r>
    </w:p>
    <w:p>
      <w:pPr>
        <w:shd w:fill="F4F6F7" w:val="clear"/>
        <w:spacing w:after="40" w:line="240"/>
        <w:ind w:left="360"/>
      </w:pPr>
      <w:r>
        <w:rPr>
          <w:rFonts w:ascii="Consolas" w:cs="Consolas" w:eastAsia="Consolas" w:hAnsi="Consolas"/>
          <w:sz w:val="18"/>
          <w:szCs w:val="18"/>
        </w:rPr>
        <w:t xml:space="preserve">uvicorn main:app --reload --port 8000</w:t>
      </w:r>
    </w:p>
    <w:p>
      <w:pPr>
        <w:shd w:fill="F4F6F7" w:val="clear"/>
        <w:spacing w:after="40" w:line="240"/>
        <w:ind w:left="360"/>
      </w:pPr>
      <w:r>
        <w:rPr>
          <w:rFonts w:ascii="Consolas" w:cs="Consolas" w:eastAsia="Consolas" w:hAnsi="Consolas"/>
          <w:sz w:val="18"/>
          <w:szCs w:val="18"/>
        </w:rPr>
        <w:t xml:space="preserve"/>
      </w:r>
    </w:p>
    <w:p>
      <w:pPr>
        <w:shd w:fill="F4F6F7" w:val="clear"/>
        <w:spacing w:after="40" w:line="240"/>
        <w:ind w:left="360"/>
      </w:pPr>
      <w:r>
        <w:rPr>
          <w:rFonts w:ascii="Consolas" w:cs="Consolas" w:eastAsia="Consolas" w:hAnsi="Consolas"/>
          <w:sz w:val="18"/>
          <w:szCs w:val="18"/>
        </w:rPr>
        <w:t xml:space="preserve"># Connect them: create .env with VITE_API_URL=http://localhost:8000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t xml:space="preserve">Page </w:t>
    </w: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Black-Litterman Credit Optimiser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2026-03-30T10:37:43.905Z</dcterms:created>
  <dcterms:modified xsi:type="dcterms:W3CDTF">2026-03-30T10:37:43.906Z</dcterms:modified>
</cp:coreProperties>
</file>

<file path=docProps/custom.xml><?xml version="1.0" encoding="utf-8"?>
<Properties xmlns="http://schemas.openxmlformats.org/officeDocument/2006/custom-properties" xmlns:vt="http://schemas.openxmlformats.org/officeDocument/2006/docPropsVTypes"/>
</file>