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2"/>
          <w:szCs w:val="52"/>
        </w:rPr>
        <w:t xml:space="preserve">BLACK–LITTERMAN PORTFOLIO OPTIMISER</w:t>
      </w:r>
    </w:p>
    <w:p>
      <w:pPr>
        <w:spacing w:after="120"/>
        <w:jc w:val="center"/>
      </w:pPr>
      <w:r>
        <w:rPr>
          <w:rFonts w:ascii="Arial" w:cs="Arial" w:eastAsia="Arial" w:hAnsi="Arial"/>
          <w:color w:val="2E75B6"/>
          <w:sz w:val="36"/>
          <w:szCs w:val="36"/>
        </w:rPr>
        <w:t xml:space="preserve">FOR INVESTMENT GRADE CREDIT PORTFOLIOS</w:t>
      </w:r>
    </w:p>
    <w:p>
      <w:pPr>
        <w:pBdr>
          <w:bottom w:val="single" w:color="2E75B6" w:sz="4" w:space="1"/>
        </w:pBdr>
        <w:spacing w:after="200" w:before="200"/>
      </w:pPr>
    </w:p>
    <w:p>
      <w:pPr>
        <w:spacing w:after="80"/>
        <w:jc w:val="center"/>
      </w:pPr>
      <w:r>
        <w:rPr>
          <w:rFonts w:ascii="Arial" w:cs="Arial" w:eastAsia="Arial" w:hAnsi="Arial"/>
          <w:color w:val="333333"/>
          <w:sz w:val="28"/>
          <w:szCs w:val="28"/>
        </w:rPr>
        <w:t xml:space="preserve">Technical Specification Document</w:t>
      </w:r>
    </w:p>
    <w:p>
      <w:pPr>
        <w:spacing w:after="80"/>
        <w:jc w:val="center"/>
      </w:pPr>
      <w:r>
        <w:rPr>
          <w:rFonts w:ascii="Arial" w:cs="Arial" w:eastAsia="Arial" w:hAnsi="Arial"/>
          <w:color w:val="666666"/>
          <w:sz w:val="22"/>
          <w:szCs w:val="22"/>
        </w:rPr>
        <w:t xml:space="preserve">Version 1.0  |  March 2026</w:t>
      </w:r>
    </w:p>
    <w:p>
      <w:pPr>
        <w:spacing w:before="600"/>
        <w:jc w:val="center"/>
      </w:pPr>
      <w:r>
        <w:rPr>
          <w:rFonts w:ascii="Arial" w:cs="Arial" w:eastAsia="Arial" w:hAnsi="Arial"/>
          <w:b/>
          <w:b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333333"/>
          <w:sz w:val="22"/>
          <w:szCs w:val="22"/>
        </w:rPr>
        <w:t xml:space="preserve">This document specifies a Black–Litterman (BL) portfolio optimisation engine purpose-built for investment grade (IG) corporate credit portfolios. The system combines an equilibrium model of credit excess returns with a structured framework for expressing subjective portfolio manager views, producing optimised allocations that are intuitive, diversified, and robust to estimation error.</w:t>
      </w:r>
    </w:p>
    <w:p>
      <w:pPr>
        <w:spacing w:after="160"/>
      </w:pPr>
      <w:r>
        <w:rPr>
          <w:rFonts w:ascii="Arial" w:cs="Arial" w:eastAsia="Arial" w:hAnsi="Arial"/>
          <w:color w:val="333333"/>
          <w:sz w:val="22"/>
          <w:szCs w:val="22"/>
        </w:rPr>
        <w:t xml:space="preserve">The optimiser extends the classical BL framework in several credit-specific dimensions: it uses option-adjusted spreads (OAS) and spread duration as the native return and risk measures; it incorporates default probabilities and credit rating migration risk through transition matrices; it supports sector, issuer, rating, and duration-bucket constraints typical of IG mandate guidelines; and it outputs both spread-return-maximising and credit-value-at-risk (Credit VaR) aware portfolios.</w:t>
      </w:r>
    </w:p>
    <w:p>
      <w:pPr>
        <w:spacing w:after="160"/>
      </w:pPr>
      <w:r>
        <w:rPr>
          <w:rFonts w:ascii="Arial" w:cs="Arial" w:eastAsia="Arial" w:hAnsi="Arial"/>
          <w:color w:val="333333"/>
          <w:sz w:val="22"/>
          <w:szCs w:val="22"/>
        </w:rPr>
        <w:t xml:space="preserve">The intended users are portfolio managers and quantitative analysts managing IG credit mandates benchmarked against standard indices such as the Bloomberg US Investment Grade Corporate Bond Index.</w:t>
      </w:r>
    </w:p>
    <w:p>
      <w:r>
        <w:br w:type="page"/>
      </w:r>
    </w:p>
    <w:p>
      <w:pPr>
        <w:pStyle w:val="Heading1"/>
      </w:pPr>
      <w:r>
        <w:t xml:space="preserve">2. Introduction and Background</w:t>
      </w:r>
    </w:p>
    <w:p>
      <w:pPr>
        <w:pStyle w:val="Heading2"/>
      </w:pPr>
      <w:r>
        <w:t xml:space="preserve">2.1 The Mean–Variance Problem in Credit</w:t>
      </w:r>
    </w:p>
    <w:p>
      <w:pPr>
        <w:spacing w:after="160"/>
      </w:pPr>
      <w:r>
        <w:rPr>
          <w:rFonts w:ascii="Arial" w:cs="Arial" w:eastAsia="Arial" w:hAnsi="Arial"/>
          <w:color w:val="333333"/>
          <w:sz w:val="22"/>
          <w:szCs w:val="22"/>
        </w:rPr>
        <w:t xml:space="preserve">Classical Markowitz mean–variance optimisation is notoriously sensitive to expected return estimates. Small perturbations in the return vector can produce wildly different and often unintuitive portfolios that concentrate in a handful of names. This problem is especially acute in credit markets, where return distributions exhibit negative skewness and fat tails due to default risk, and where historical return series are short and noisy.</w:t>
      </w:r>
    </w:p>
    <w:p>
      <w:pPr>
        <w:pStyle w:val="Heading2"/>
      </w:pPr>
      <w:r>
        <w:t xml:space="preserve">2.2 The Black–Litterman Solution</w:t>
      </w:r>
    </w:p>
    <w:p>
      <w:pPr>
        <w:spacing w:after="160"/>
      </w:pPr>
      <w:r>
        <w:rPr>
          <w:rFonts w:ascii="Arial" w:cs="Arial" w:eastAsia="Arial" w:hAnsi="Arial"/>
          <w:color w:val="333333"/>
          <w:sz w:val="22"/>
          <w:szCs w:val="22"/>
        </w:rPr>
        <w:t xml:space="preserve">The Black–Litterman model, originally developed for equity markets, addresses estimation error by anchoring expected returns to an equilibrium prior derived from the market portfolio. Portfolio manager views are then blended with this prior using a Bayesian updating mechanism, producing a posterior return vector that is stable, diversified, and reflects both market consensus and active insight.</w:t>
      </w:r>
    </w:p>
    <w:p>
      <w:pPr>
        <w:pStyle w:val="Heading2"/>
      </w:pPr>
      <w:r>
        <w:t xml:space="preserve">2.3 Adaptation to Credit Markets</w:t>
      </w:r>
    </w:p>
    <w:p>
      <w:pPr>
        <w:spacing w:after="160"/>
      </w:pPr>
      <w:r>
        <w:rPr>
          <w:rFonts w:ascii="Arial" w:cs="Arial" w:eastAsia="Arial" w:hAnsi="Arial"/>
          <w:color w:val="333333"/>
          <w:sz w:val="22"/>
          <w:szCs w:val="22"/>
        </w:rPr>
        <w:t xml:space="preserve">Applying BL to credit requires several non-trivial adaptations. The equilibrium return in credit is not a simple CAPM-implied excess return; it must be expressed in spread terms and account for expected losses from defaults and downgrades. The risk model must capture spread correlation structure across sectors, ratings, and maturities, as well as idiosyncratic and systematic default risk. This specification details each of these adaptations.</w:t>
      </w:r>
    </w:p>
    <w:p>
      <w:r>
        <w:br w:type="page"/>
      </w:r>
    </w:p>
    <w:p>
      <w:pPr>
        <w:pStyle w:val="Heading1"/>
      </w:pPr>
      <w:r>
        <w:t xml:space="preserve">3. Mathematical Formulation</w:t>
      </w:r>
    </w:p>
    <w:p>
      <w:pPr>
        <w:pStyle w:val="Heading2"/>
      </w:pPr>
      <w:r>
        <w:t xml:space="preserve">3.1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of assets (bonds or issuers) in the investment universe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Σ</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 × N covariance matrix of excess spread 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w_mkt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 × 1 vector of market-capitalisation (or duration-weighted) benchmark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δ</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Risk aversion coefficient (scalar)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 × 1 vector of implied equilibrium excess 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τ</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Scalar indicating uncertainty in the equilibrium prior (typically 0.01–0.05)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 × N pick matrix encoding K views on N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 × 1 vector of view magnitudes (expected spread 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Ω</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 × K diagonal matrix of view uncertainty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μ_BL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 × 1 posterior (blended) expected excess return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 × 1 vector of optimal portfolio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 × 1 vector of spread durations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 × 1 vector of annualised probability of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LGD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 × 1 vector of loss given default (1 − recovery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 R credit rating transition matrix (annual)</w:t>
            </w:r>
          </w:p>
        </w:tc>
      </w:tr>
    </w:tbl>
    <w:p>
      <w:pPr>
        <w:spacing w:after="200"/>
      </w:pPr>
    </w:p>
    <w:p>
      <w:pPr>
        <w:pStyle w:val="Heading2"/>
      </w:pPr>
      <w:r>
        <w:t xml:space="preserve">3.2 Step 1 — Implied Equilibrium Returns</w:t>
      </w:r>
    </w:p>
    <w:p>
      <w:pPr>
        <w:spacing w:after="160"/>
      </w:pPr>
      <w:r>
        <w:rPr>
          <w:rFonts w:ascii="Arial" w:cs="Arial" w:eastAsia="Arial" w:hAnsi="Arial"/>
          <w:color w:val="333333"/>
          <w:sz w:val="22"/>
          <w:szCs w:val="22"/>
        </w:rPr>
        <w:t xml:space="preserve">The equilibrium excess return vector is reverse-engineered from the benchmark weights under the assumption that the market portfolio is mean–variance efficient:</w:t>
      </w:r>
    </w:p>
    <w:p>
      <w:pPr>
        <w:spacing w:after="160" w:before="160"/>
        <w:ind w:left="720"/>
      </w:pPr>
      <w:r>
        <w:rPr>
          <w:rFonts w:ascii="Cambria Math" w:cs="Cambria Math" w:eastAsia="Cambria Math" w:hAnsi="Cambria Math"/>
          <w:i/>
          <w:iCs/>
          <w:color w:val="333333"/>
          <w:sz w:val="22"/>
          <w:szCs w:val="22"/>
        </w:rPr>
        <w:t xml:space="preserve">π = δ Σ w_mkt</w:t>
      </w:r>
    </w:p>
    <w:p>
      <w:pPr>
        <w:spacing w:after="160"/>
      </w:pPr>
      <w:r>
        <w:rPr>
          <w:rFonts w:ascii="Arial" w:cs="Arial" w:eastAsia="Arial" w:hAnsi="Arial"/>
          <w:color w:val="333333"/>
          <w:sz w:val="22"/>
          <w:szCs w:val="22"/>
        </w:rPr>
        <w:t xml:space="preserve">In a credit context, π represents the spread compensation the market demands for bearing each issuer’s systematic risk, net of expected losses. The risk aversion coefficient δ is calibrated so that the implied portfolio Sharpe ratio matches a target (typically 0.3–0.5 for IG credit).</w:t>
      </w:r>
    </w:p>
    <w:p>
      <w:pPr>
        <w:pStyle w:val="Heading3"/>
      </w:pPr>
      <w:r>
        <w:t xml:space="preserve">3.2.1 Covariance Matrix Construction</w:t>
      </w:r>
    </w:p>
    <w:p>
      <w:pPr>
        <w:spacing w:after="160"/>
      </w:pPr>
      <w:r>
        <w:rPr>
          <w:rFonts w:ascii="Arial" w:cs="Arial" w:eastAsia="Arial" w:hAnsi="Arial"/>
          <w:color w:val="333333"/>
          <w:sz w:val="22"/>
          <w:szCs w:val="22"/>
        </w:rPr>
        <w:t xml:space="preserve">The spread return covariance matrix Σ is estimated from historical OAS time series. Because credit spread data is noisy and subject to liquidity-driven distortions, the raw sample covariance is regularised using one of the following approaches:</w:t>
      </w:r>
    </w:p>
    <w:p>
      <w:pPr>
        <w:pStyle w:val="ListParagraph"/>
        <w:numPr>
          <w:ilvl w:val="0"/>
          <w:numId w:val="2"/>
        </w:numPr>
        <w:spacing w:after="80"/>
      </w:pPr>
      <w:r>
        <w:rPr>
          <w:rFonts w:ascii="Arial" w:cs="Arial" w:eastAsia="Arial" w:hAnsi="Arial"/>
          <w:color w:val="333333"/>
          <w:sz w:val="22"/>
          <w:szCs w:val="22"/>
        </w:rPr>
        <w:t xml:space="preserve">Ledoit–Wolf shrinkage toward a single-factor (market spread) target</w:t>
      </w:r>
    </w:p>
    <w:p>
      <w:pPr>
        <w:pStyle w:val="ListParagraph"/>
        <w:numPr>
          <w:ilvl w:val="0"/>
          <w:numId w:val="2"/>
        </w:numPr>
        <w:spacing w:after="80"/>
      </w:pPr>
      <w:r>
        <w:rPr>
          <w:rFonts w:ascii="Arial" w:cs="Arial" w:eastAsia="Arial" w:hAnsi="Arial"/>
          <w:color w:val="333333"/>
          <w:sz w:val="22"/>
          <w:szCs w:val="22"/>
        </w:rPr>
        <w:t xml:space="preserve">A structured factor model decomposing spread returns into systematic (sector, rating, curve) and idiosyncratic components</w:t>
      </w:r>
    </w:p>
    <w:p>
      <w:pPr>
        <w:pStyle w:val="ListParagraph"/>
        <w:numPr>
          <w:ilvl w:val="0"/>
          <w:numId w:val="2"/>
        </w:numPr>
        <w:spacing w:after="80"/>
      </w:pPr>
      <w:r>
        <w:rPr>
          <w:rFonts w:ascii="Arial" w:cs="Arial" w:eastAsia="Arial" w:hAnsi="Arial"/>
          <w:color w:val="333333"/>
          <w:sz w:val="22"/>
          <w:szCs w:val="22"/>
        </w:rPr>
        <w:t xml:space="preserve">An exponentially weighted moving average (EWMA) estimator with a half-life of 60–120 business days</w:t>
      </w:r>
    </w:p>
    <w:p>
      <w:pPr>
        <w:spacing w:after="160"/>
      </w:pPr>
      <w:r>
        <w:rPr>
          <w:rFonts w:ascii="Arial" w:cs="Arial" w:eastAsia="Arial" w:hAnsi="Arial"/>
          <w:color w:val="333333"/>
          <w:sz w:val="22"/>
          <w:szCs w:val="22"/>
        </w:rPr>
        <w:t xml:space="preserve">The factor model is the recommended default, as it provides an interpretable and stable covariance structure.</w:t>
      </w:r>
    </w:p>
    <w:p>
      <w:pPr>
        <w:pStyle w:val="Heading3"/>
      </w:pPr>
      <w:r>
        <w:t xml:space="preserve">3.2.2 Risk Aversion Calibration</w:t>
      </w:r>
    </w:p>
    <w:p>
      <w:pPr>
        <w:spacing w:after="160"/>
      </w:pPr>
      <w:r>
        <w:rPr>
          <w:rFonts w:ascii="Arial" w:cs="Arial" w:eastAsia="Arial" w:hAnsi="Arial"/>
          <w:color w:val="333333"/>
          <w:sz w:val="22"/>
          <w:szCs w:val="22"/>
        </w:rPr>
        <w:t xml:space="preserve">The risk aversion parameter δ is calibrated by solving:</w:t>
      </w:r>
    </w:p>
    <w:p>
      <w:pPr>
        <w:spacing w:after="160" w:before="160"/>
        <w:ind w:left="720"/>
      </w:pPr>
      <w:r>
        <w:rPr>
          <w:rFonts w:ascii="Cambria Math" w:cs="Cambria Math" w:eastAsia="Cambria Math" w:hAnsi="Cambria Math"/>
          <w:i/>
          <w:iCs/>
          <w:color w:val="333333"/>
          <w:sz w:val="22"/>
          <w:szCs w:val="22"/>
        </w:rPr>
        <w:t xml:space="preserve">δ = (E[r_mkt] − EL_mkt) / (w_mktᵀ Σ w_mkt)</w:t>
      </w:r>
    </w:p>
    <w:p>
      <w:pPr>
        <w:spacing w:after="160"/>
      </w:pPr>
      <w:r>
        <w:rPr>
          <w:rFonts w:ascii="Arial" w:cs="Arial" w:eastAsia="Arial" w:hAnsi="Arial"/>
          <w:color w:val="333333"/>
          <w:sz w:val="22"/>
          <w:szCs w:val="22"/>
        </w:rPr>
        <w:t xml:space="preserve">where E[r_mkt] is the benchmark’s expected excess spread return (OAS minus expected loss) and the denominator is the benchmark’s spread return variance. EL_mkt is the market-weighted expected loss (PD × LGD).</w:t>
      </w:r>
    </w:p>
    <w:p>
      <w:pPr>
        <w:pStyle w:val="Heading2"/>
      </w:pPr>
      <w:r>
        <w:t xml:space="preserve">3.3 Step 2 — Expressing Views</w:t>
      </w:r>
    </w:p>
    <w:p>
      <w:pPr>
        <w:spacing w:after="160"/>
      </w:pPr>
      <w:r>
        <w:rPr>
          <w:rFonts w:ascii="Arial" w:cs="Arial" w:eastAsia="Arial" w:hAnsi="Arial"/>
          <w:color w:val="333333"/>
          <w:sz w:val="22"/>
          <w:szCs w:val="22"/>
        </w:rPr>
        <w:t xml:space="preserve">Portfolio managers express K views on relative or absolute spread returns. Each view takes the form:</w:t>
      </w:r>
    </w:p>
    <w:p>
      <w:pPr>
        <w:spacing w:after="160" w:before="160"/>
        <w:ind w:left="720"/>
      </w:pPr>
      <w:r>
        <w:rPr>
          <w:rFonts w:ascii="Cambria Math" w:cs="Cambria Math" w:eastAsia="Cambria Math" w:hAnsi="Cambria Math"/>
          <w:i/>
          <w:iCs/>
          <w:color w:val="333333"/>
          <w:sz w:val="22"/>
          <w:szCs w:val="22"/>
        </w:rPr>
        <w:t xml:space="preserve">P_k μ = Q_k + ε_k,    ε_k ~ N(0, Ω_kk)</w:t>
      </w:r>
    </w:p>
    <w:p>
      <w:pPr>
        <w:pStyle w:val="Heading3"/>
      </w:pPr>
      <w:r>
        <w:t xml:space="preserve">3.3.1 Absolute Views</w:t>
      </w:r>
    </w:p>
    <w:p>
      <w:pPr>
        <w:spacing w:after="160"/>
      </w:pPr>
      <w:r>
        <w:rPr>
          <w:rFonts w:ascii="Arial" w:cs="Arial" w:eastAsia="Arial" w:hAnsi="Arial"/>
          <w:color w:val="333333"/>
          <w:sz w:val="22"/>
          <w:szCs w:val="22"/>
        </w:rPr>
        <w:t xml:space="preserve">An absolute view asserts that a specific issuer or sector will deliver a particular spread return. For example: “Issuer A will generate 80 bp of excess spread return over the next 12 months.” The corresponding row in P has a 1 in the column for Issuer A and zeros elsewhere, with Q_k = 0.0080.</w:t>
      </w:r>
    </w:p>
    <w:p>
      <w:pPr>
        <w:pStyle w:val="Heading3"/>
      </w:pPr>
      <w:r>
        <w:t xml:space="preserve">3.3.2 Relative Views</w:t>
      </w:r>
    </w:p>
    <w:p>
      <w:pPr>
        <w:spacing w:after="160"/>
      </w:pPr>
      <w:r>
        <w:rPr>
          <w:rFonts w:ascii="Arial" w:cs="Arial" w:eastAsia="Arial" w:hAnsi="Arial"/>
          <w:color w:val="333333"/>
          <w:sz w:val="22"/>
          <w:szCs w:val="22"/>
        </w:rPr>
        <w:t xml:space="preserve">A relative view asserts that one issuer (or group) will outperform another. For example: “Financials will outperform Industrials by 30 bp.” The P row has positive weights on financials names and negative weights on industrials names, with Q_k = 0.0030.</w:t>
      </w:r>
    </w:p>
    <w:p>
      <w:pPr>
        <w:pStyle w:val="Heading3"/>
      </w:pPr>
      <w:r>
        <w:t xml:space="preserve">3.3.3 View Confidence and Ω</w:t>
      </w:r>
    </w:p>
    <w:p>
      <w:pPr>
        <w:spacing w:after="160"/>
      </w:pPr>
      <w:r>
        <w:rPr>
          <w:rFonts w:ascii="Arial" w:cs="Arial" w:eastAsia="Arial" w:hAnsi="Arial"/>
          <w:color w:val="333333"/>
          <w:sz w:val="22"/>
          <w:szCs w:val="22"/>
        </w:rPr>
        <w:t xml:space="preserve">The uncertainty matrix Ω is diagonal, with each element reflecting the manager’s confidence in the corresponding view. Two approaches are supported:</w:t>
      </w:r>
    </w:p>
    <w:p>
      <w:pPr>
        <w:pStyle w:val="ListParagraph"/>
        <w:numPr>
          <w:ilvl w:val="0"/>
          <w:numId w:val="3"/>
        </w:numPr>
        <w:spacing w:after="80"/>
      </w:pPr>
      <w:r>
        <w:rPr>
          <w:rFonts w:ascii="Arial" w:cs="Arial" w:eastAsia="Arial" w:hAnsi="Arial"/>
          <w:b/>
          <w:bCs/>
          <w:color w:val="333333"/>
          <w:sz w:val="22"/>
          <w:szCs w:val="22"/>
        </w:rPr>
        <w:t xml:space="preserve">Proportional method (default): </w:t>
      </w:r>
      <w:r>
        <w:rPr>
          <w:rFonts w:ascii="Arial" w:cs="Arial" w:eastAsia="Arial" w:hAnsi="Arial"/>
          <w:color w:val="333333"/>
          <w:sz w:val="22"/>
          <w:szCs w:val="22"/>
        </w:rPr>
        <w:t xml:space="preserve">Ω_kk = τ (P_k Σ P_kᵀ). This scales view uncertainty in proportion to the prior uncertainty of the assets referenced by the view, which is the approach proposed by Idzorek (2005).</w:t>
      </w:r>
    </w:p>
    <w:p>
      <w:pPr>
        <w:pStyle w:val="ListParagraph"/>
        <w:numPr>
          <w:ilvl w:val="0"/>
          <w:numId w:val="3"/>
        </w:numPr>
        <w:spacing w:after="80"/>
      </w:pPr>
      <w:r>
        <w:rPr>
          <w:rFonts w:ascii="Arial" w:cs="Arial" w:eastAsia="Arial" w:hAnsi="Arial"/>
          <w:b/>
          <w:bCs/>
          <w:color w:val="333333"/>
          <w:sz w:val="22"/>
          <w:szCs w:val="22"/>
        </w:rPr>
        <w:t xml:space="preserve">Confidence-weighted method: </w:t>
      </w:r>
      <w:r>
        <w:rPr>
          <w:rFonts w:ascii="Arial" w:cs="Arial" w:eastAsia="Arial" w:hAnsi="Arial"/>
          <w:color w:val="333333"/>
          <w:sz w:val="22"/>
          <w:szCs w:val="22"/>
        </w:rPr>
        <w:t xml:space="preserve">The manager specifies a confidence level c_k ∈ (0, 1] for each view, and the system maps this to Ω_kk using an inverse relationship such that c_k = 1 implies near-zero uncertainty (the posterior tilts fully toward the view) and low c_k implies high uncertainty.</w:t>
      </w:r>
    </w:p>
    <w:p>
      <w:pPr>
        <w:pStyle w:val="Heading2"/>
      </w:pPr>
      <w:r>
        <w:t xml:space="preserve">3.4 Step 3 — Bayesian Posterior</w:t>
      </w:r>
    </w:p>
    <w:p>
      <w:pPr>
        <w:spacing w:after="160"/>
      </w:pPr>
      <w:r>
        <w:rPr>
          <w:rFonts w:ascii="Arial" w:cs="Arial" w:eastAsia="Arial" w:hAnsi="Arial"/>
          <w:color w:val="333333"/>
          <w:sz w:val="22"/>
          <w:szCs w:val="22"/>
        </w:rPr>
        <w:t xml:space="preserve">The posterior expected return vector blends the equilibrium prior with the views:</w:t>
      </w:r>
    </w:p>
    <w:p>
      <w:pPr>
        <w:spacing w:after="160" w:before="160"/>
        <w:ind w:left="720"/>
      </w:pPr>
      <w:r>
        <w:rPr>
          <w:rFonts w:ascii="Cambria Math" w:cs="Cambria Math" w:eastAsia="Cambria Math" w:hAnsi="Cambria Math"/>
          <w:i/>
          <w:iCs/>
          <w:color w:val="333333"/>
          <w:sz w:val="22"/>
          <w:szCs w:val="22"/>
        </w:rPr>
        <w:t xml:space="preserve">μ_BL = [(τΣ)⁻¹ + Pᵀ Ω⁻¹ P]⁻¹ [(τΣ)⁻¹ π + Pᵀ Ω⁻¹ Q]</w:t>
      </w:r>
    </w:p>
    <w:p>
      <w:pPr>
        <w:spacing w:after="160"/>
      </w:pPr>
      <w:r>
        <w:rPr>
          <w:rFonts w:ascii="Arial" w:cs="Arial" w:eastAsia="Arial" w:hAnsi="Arial"/>
          <w:color w:val="333333"/>
          <w:sz w:val="22"/>
          <w:szCs w:val="22"/>
        </w:rPr>
        <w:t xml:space="preserve">The posterior covariance is:</w:t>
      </w:r>
    </w:p>
    <w:p>
      <w:pPr>
        <w:spacing w:after="160" w:before="160"/>
        <w:ind w:left="720"/>
      </w:pPr>
      <w:r>
        <w:rPr>
          <w:rFonts w:ascii="Cambria Math" w:cs="Cambria Math" w:eastAsia="Cambria Math" w:hAnsi="Cambria Math"/>
          <w:i/>
          <w:iCs/>
          <w:color w:val="333333"/>
          <w:sz w:val="22"/>
          <w:szCs w:val="22"/>
        </w:rPr>
        <w:t xml:space="preserve">Σ_BL = Σ + [(τΣ)⁻¹ + Pᵀ Ω⁻¹ P]⁻¹</w:t>
      </w:r>
    </w:p>
    <w:p>
      <w:pPr>
        <w:spacing w:after="160"/>
      </w:pPr>
      <w:r>
        <w:rPr>
          <w:rFonts w:ascii="Arial" w:cs="Arial" w:eastAsia="Arial" w:hAnsi="Arial"/>
          <w:color w:val="333333"/>
          <w:sz w:val="22"/>
          <w:szCs w:val="22"/>
        </w:rPr>
        <w:t xml:space="preserve">This posterior covariance is used in the optimisation step to ensure that the uncertainty introduced by the BL blending is correctly reflected in portfolio risk.</w:t>
      </w:r>
    </w:p>
    <w:p>
      <w:pPr>
        <w:pStyle w:val="Heading2"/>
      </w:pPr>
      <w:r>
        <w:t xml:space="preserve">3.5 Step 4 — Portfolio Optimisation</w:t>
      </w:r>
    </w:p>
    <w:p>
      <w:pPr>
        <w:spacing w:after="160"/>
      </w:pPr>
      <w:r>
        <w:rPr>
          <w:rFonts w:ascii="Arial" w:cs="Arial" w:eastAsia="Arial" w:hAnsi="Arial"/>
          <w:color w:val="333333"/>
          <w:sz w:val="22"/>
          <w:szCs w:val="22"/>
        </w:rPr>
        <w:t xml:space="preserve">Given the posterior moments, the optimal weights are obtained by solving a constrained quadratic programme:</w:t>
      </w:r>
    </w:p>
    <w:p>
      <w:pPr>
        <w:spacing w:after="160" w:before="160"/>
        <w:ind w:left="720"/>
      </w:pPr>
      <w:r>
        <w:rPr>
          <w:rFonts w:ascii="Cambria Math" w:cs="Cambria Math" w:eastAsia="Cambria Math" w:hAnsi="Cambria Math"/>
          <w:i/>
          <w:iCs/>
          <w:color w:val="333333"/>
          <w:sz w:val="22"/>
          <w:szCs w:val="22"/>
        </w:rPr>
        <w:t xml:space="preserve">max_w  wᵀ μ_BL − (δ/2) wᵀ Σ_BL w</w:t>
      </w:r>
    </w:p>
    <w:p>
      <w:pPr>
        <w:spacing w:after="160"/>
      </w:pPr>
      <w:r>
        <w:rPr>
          <w:rFonts w:ascii="Arial" w:cs="Arial" w:eastAsia="Arial" w:hAnsi="Arial"/>
          <w:color w:val="333333"/>
          <w:sz w:val="22"/>
          <w:szCs w:val="22"/>
        </w:rPr>
        <w:t xml:space="preserve">subject to the constraint set C (detailed in Section 6).</w:t>
      </w:r>
    </w:p>
    <w:p>
      <w:pPr>
        <w:spacing w:after="160"/>
      </w:pPr>
      <w:r>
        <w:rPr>
          <w:rFonts w:ascii="Arial" w:cs="Arial" w:eastAsia="Arial" w:hAnsi="Arial"/>
          <w:color w:val="333333"/>
          <w:sz w:val="22"/>
          <w:szCs w:val="22"/>
        </w:rPr>
        <w:t xml:space="preserve">When credit-value-at-risk is an active constraint, the problem is reformulated as:</w:t>
      </w:r>
    </w:p>
    <w:p>
      <w:pPr>
        <w:spacing w:after="160" w:before="160"/>
        <w:ind w:left="720"/>
      </w:pPr>
      <w:r>
        <w:rPr>
          <w:rFonts w:ascii="Cambria Math" w:cs="Cambria Math" w:eastAsia="Cambria Math" w:hAnsi="Cambria Math"/>
          <w:i/>
          <w:iCs/>
          <w:color w:val="333333"/>
          <w:sz w:val="22"/>
          <w:szCs w:val="22"/>
        </w:rPr>
        <w:t xml:space="preserve">max_w  wᵀ μ_BL    s.t.  CVaR_α(w) ≤ L_max  and  w ∈ C</w:t>
      </w:r>
    </w:p>
    <w:p>
      <w:pPr>
        <w:spacing w:after="160"/>
      </w:pPr>
      <w:r>
        <w:rPr>
          <w:rFonts w:ascii="Arial" w:cs="Arial" w:eastAsia="Arial" w:hAnsi="Arial"/>
          <w:color w:val="333333"/>
          <w:sz w:val="22"/>
          <w:szCs w:val="22"/>
        </w:rPr>
        <w:t xml:space="preserve">where CVaR_α is the conditional value-at-risk at confidence level α (typically 99% or 99.5%) and L_max is the maximum tolerable expected shortfall.</w:t>
      </w:r>
    </w:p>
    <w:p>
      <w:r>
        <w:br w:type="page"/>
      </w:r>
    </w:p>
    <w:p>
      <w:pPr>
        <w:pStyle w:val="Heading1"/>
      </w:pPr>
      <w:r>
        <w:t xml:space="preserve">4. Credit Risk Framework</w:t>
      </w:r>
    </w:p>
    <w:p>
      <w:pPr>
        <w:pStyle w:val="Heading2"/>
      </w:pPr>
      <w:r>
        <w:t xml:space="preserve">4.1 Default Risk</w:t>
      </w:r>
    </w:p>
    <w:p>
      <w:pPr>
        <w:spacing w:after="160"/>
      </w:pPr>
      <w:r>
        <w:rPr>
          <w:rFonts w:ascii="Arial" w:cs="Arial" w:eastAsia="Arial" w:hAnsi="Arial"/>
          <w:color w:val="333333"/>
          <w:sz w:val="22"/>
          <w:szCs w:val="22"/>
        </w:rPr>
        <w:t xml:space="preserve">Each issuer is assigned an annualised probability of default (PD) derived from one or more of the following sources:</w:t>
      </w:r>
    </w:p>
    <w:p>
      <w:pPr>
        <w:pStyle w:val="ListParagraph"/>
        <w:numPr>
          <w:ilvl w:val="0"/>
          <w:numId w:val="2"/>
        </w:numPr>
        <w:spacing w:after="80"/>
      </w:pPr>
      <w:r>
        <w:rPr>
          <w:rFonts w:ascii="Arial" w:cs="Arial" w:eastAsia="Arial" w:hAnsi="Arial"/>
          <w:color w:val="333333"/>
          <w:sz w:val="22"/>
          <w:szCs w:val="22"/>
        </w:rPr>
        <w:t xml:space="preserve">Agency ratings mapped to historical default frequencies (e.g., Moody’s or S&amp;P annual default studies)</w:t>
      </w:r>
    </w:p>
    <w:p>
      <w:pPr>
        <w:pStyle w:val="ListParagraph"/>
        <w:numPr>
          <w:ilvl w:val="0"/>
          <w:numId w:val="2"/>
        </w:numPr>
        <w:spacing w:after="80"/>
      </w:pPr>
      <w:r>
        <w:rPr>
          <w:rFonts w:ascii="Arial" w:cs="Arial" w:eastAsia="Arial" w:hAnsi="Arial"/>
          <w:color w:val="333333"/>
          <w:sz w:val="22"/>
          <w:szCs w:val="22"/>
        </w:rPr>
        <w:t xml:space="preserve">Market-implied default probabilities extracted from CDS spreads via the hazard rate model: PD = 1 − exp(−λ T), where λ = CDS spread / LGD</w:t>
      </w:r>
    </w:p>
    <w:p>
      <w:pPr>
        <w:pStyle w:val="ListParagraph"/>
        <w:numPr>
          <w:ilvl w:val="0"/>
          <w:numId w:val="2"/>
        </w:numPr>
        <w:spacing w:after="80"/>
      </w:pPr>
      <w:r>
        <w:rPr>
          <w:rFonts w:ascii="Arial" w:cs="Arial" w:eastAsia="Arial" w:hAnsi="Arial"/>
          <w:color w:val="333333"/>
          <w:sz w:val="22"/>
          <w:szCs w:val="22"/>
        </w:rPr>
        <w:t xml:space="preserve">Fundamental credit scoring models (Altman Z-Score, Merton distance-to-default) where CDS markets are illiquid</w:t>
      </w:r>
    </w:p>
    <w:p>
      <w:pPr>
        <w:spacing w:after="160"/>
      </w:pPr>
      <w:r>
        <w:rPr>
          <w:rFonts w:ascii="Arial" w:cs="Arial" w:eastAsia="Arial" w:hAnsi="Arial"/>
          <w:color w:val="333333"/>
          <w:sz w:val="22"/>
          <w:szCs w:val="22"/>
        </w:rPr>
        <w:t xml:space="preserve">The expected loss (EL) for each position is: EL_i = PD_i × LGD_i × EAD_i, where EAD is the exposure at default (par amount times price).</w:t>
      </w:r>
    </w:p>
    <w:p>
      <w:pPr>
        <w:pStyle w:val="Heading2"/>
      </w:pPr>
      <w:r>
        <w:t xml:space="preserve">4.2 Rating Migration Risk</w:t>
      </w:r>
    </w:p>
    <w:p>
      <w:pPr>
        <w:spacing w:after="160"/>
      </w:pPr>
      <w:r>
        <w:rPr>
          <w:rFonts w:ascii="Arial" w:cs="Arial" w:eastAsia="Arial" w:hAnsi="Arial"/>
          <w:color w:val="333333"/>
          <w:sz w:val="22"/>
          <w:szCs w:val="22"/>
        </w:rPr>
        <w:t xml:space="preserve">The annual credit rating transition matrix M (sourced from rating agencies) captures the probability of an issuer migrating from its current rating to any other rating over the horizon. For IG portfolios, the key concern is downgrade risk, particularly migration from BBB to BB (“fallen angel” risk), which triggers forced selling in index-constrained mandates.</w:t>
      </w:r>
    </w:p>
    <w:p>
      <w:pPr>
        <w:spacing w:after="160"/>
      </w:pPr>
      <w:r>
        <w:rPr>
          <w:rFonts w:ascii="Arial" w:cs="Arial" w:eastAsia="Arial" w:hAnsi="Arial"/>
          <w:color w:val="333333"/>
          <w:sz w:val="22"/>
          <w:szCs w:val="22"/>
        </w:rPr>
        <w:t xml:space="preserve">The migration-adjusted spread return for issuer i is computed as a probability-weighted average of the spread change under each migration scenario:</w:t>
      </w:r>
    </w:p>
    <w:p>
      <w:pPr>
        <w:spacing w:after="160" w:before="160"/>
        <w:ind w:left="720"/>
      </w:pPr>
      <w:r>
        <w:rPr>
          <w:rFonts w:ascii="Cambria Math" w:cs="Cambria Math" w:eastAsia="Cambria Math" w:hAnsi="Cambria Math"/>
          <w:i/>
          <w:iCs/>
          <w:color w:val="333333"/>
          <w:sz w:val="22"/>
          <w:szCs w:val="22"/>
        </w:rPr>
        <w:t xml:space="preserve">E[Δs_i] = ∑_j  M(r_i, j) × [Δs(r_i → j)] × D_i</w:t>
      </w:r>
    </w:p>
    <w:p>
      <w:pPr>
        <w:spacing w:after="160"/>
      </w:pPr>
      <w:r>
        <w:rPr>
          <w:rFonts w:ascii="Arial" w:cs="Arial" w:eastAsia="Arial" w:hAnsi="Arial"/>
          <w:color w:val="333333"/>
          <w:sz w:val="22"/>
          <w:szCs w:val="22"/>
        </w:rPr>
        <w:t xml:space="preserve">where M(r_i, j) is the transition probability from current rating r_i to rating j, and Δs is the typical spread widening (or tightening) associated with that transition.</w:t>
      </w:r>
    </w:p>
    <w:p>
      <w:pPr>
        <w:pStyle w:val="Heading2"/>
      </w:pPr>
      <w:r>
        <w:t xml:space="preserve">4.3 Expected Loss Adjustment to Equilibrium Returns</w:t>
      </w:r>
    </w:p>
    <w:p>
      <w:pPr>
        <w:spacing w:after="160"/>
      </w:pPr>
      <w:r>
        <w:rPr>
          <w:rFonts w:ascii="Arial" w:cs="Arial" w:eastAsia="Arial" w:hAnsi="Arial"/>
          <w:color w:val="333333"/>
          <w:sz w:val="22"/>
          <w:szCs w:val="22"/>
        </w:rPr>
        <w:t xml:space="preserve">The equilibrium return vector is adjusted to strip out expected losses, ensuring that the optimiser targets genuine risk premia rather than compensation for expected defaults:</w:t>
      </w:r>
    </w:p>
    <w:p>
      <w:pPr>
        <w:spacing w:after="160" w:before="160"/>
        <w:ind w:left="720"/>
      </w:pPr>
      <w:r>
        <w:rPr>
          <w:rFonts w:ascii="Cambria Math" w:cs="Cambria Math" w:eastAsia="Cambria Math" w:hAnsi="Cambria Math"/>
          <w:i/>
          <w:iCs/>
          <w:color w:val="333333"/>
          <w:sz w:val="22"/>
          <w:szCs w:val="22"/>
        </w:rPr>
        <w:t xml:space="preserve">π_adj = π − EL − MigrationLoss</w:t>
      </w:r>
    </w:p>
    <w:p>
      <w:pPr>
        <w:spacing w:after="160"/>
      </w:pPr>
      <w:r>
        <w:rPr>
          <w:rFonts w:ascii="Arial" w:cs="Arial" w:eastAsia="Arial" w:hAnsi="Arial"/>
          <w:color w:val="333333"/>
          <w:sz w:val="22"/>
          <w:szCs w:val="22"/>
        </w:rPr>
        <w:t xml:space="preserve">where MigrationLoss is the expected spread return loss from rating migrations (Section 4.2).</w:t>
      </w:r>
    </w:p>
    <w:p>
      <w:pPr>
        <w:pStyle w:val="Heading2"/>
      </w:pPr>
      <w:r>
        <w:t xml:space="preserve">4.4 Credit Value-at-Risk (Credit VaR)</w:t>
      </w:r>
    </w:p>
    <w:p>
      <w:pPr>
        <w:spacing w:after="160"/>
      </w:pPr>
      <w:r>
        <w:rPr>
          <w:rFonts w:ascii="Arial" w:cs="Arial" w:eastAsia="Arial" w:hAnsi="Arial"/>
          <w:color w:val="333333"/>
          <w:sz w:val="22"/>
          <w:szCs w:val="22"/>
        </w:rPr>
        <w:t xml:space="preserve">The portfolio-level Credit VaR is estimated via Monte Carlo simulation of correlated defaults and rating migrations:</w:t>
      </w:r>
    </w:p>
    <w:p>
      <w:pPr>
        <w:pStyle w:val="ListParagraph"/>
        <w:numPr>
          <w:ilvl w:val="0"/>
          <w:numId w:val="4"/>
        </w:numPr>
        <w:spacing w:after="80"/>
      </w:pPr>
      <w:r>
        <w:rPr>
          <w:rFonts w:ascii="Arial" w:cs="Arial" w:eastAsia="Arial" w:hAnsi="Arial"/>
          <w:color w:val="333333"/>
          <w:sz w:val="22"/>
          <w:szCs w:val="22"/>
        </w:rPr>
        <w:t xml:space="preserve">Draw correlated asset value shocks using a Gaussian copula (or Student-t copula for heavier tails) with correlation calibrated to equity or CDS co-movements.</w:t>
      </w:r>
    </w:p>
    <w:p>
      <w:pPr>
        <w:pStyle w:val="ListParagraph"/>
        <w:numPr>
          <w:ilvl w:val="0"/>
          <w:numId w:val="4"/>
        </w:numPr>
        <w:spacing w:after="80"/>
      </w:pPr>
      <w:r>
        <w:rPr>
          <w:rFonts w:ascii="Arial" w:cs="Arial" w:eastAsia="Arial" w:hAnsi="Arial"/>
          <w:color w:val="333333"/>
          <w:sz w:val="22"/>
          <w:szCs w:val="22"/>
        </w:rPr>
        <w:t xml:space="preserve">Determine default and migration events by comparing shocks against PD and transition thresholds.</w:t>
      </w:r>
    </w:p>
    <w:p>
      <w:pPr>
        <w:pStyle w:val="ListParagraph"/>
        <w:numPr>
          <w:ilvl w:val="0"/>
          <w:numId w:val="4"/>
        </w:numPr>
        <w:spacing w:after="80"/>
      </w:pPr>
      <w:r>
        <w:rPr>
          <w:rFonts w:ascii="Arial" w:cs="Arial" w:eastAsia="Arial" w:hAnsi="Arial"/>
          <w:color w:val="333333"/>
          <w:sz w:val="22"/>
          <w:szCs w:val="22"/>
        </w:rPr>
        <w:t xml:space="preserve">Compute portfolio loss under each scenario, accounting for recovery rate uncertainty.</w:t>
      </w:r>
    </w:p>
    <w:p>
      <w:pPr>
        <w:pStyle w:val="ListParagraph"/>
        <w:numPr>
          <w:ilvl w:val="0"/>
          <w:numId w:val="4"/>
        </w:numPr>
        <w:spacing w:after="80"/>
      </w:pPr>
      <w:r>
        <w:rPr>
          <w:rFonts w:ascii="Arial" w:cs="Arial" w:eastAsia="Arial" w:hAnsi="Arial"/>
          <w:color w:val="333333"/>
          <w:sz w:val="22"/>
          <w:szCs w:val="22"/>
        </w:rPr>
        <w:t xml:space="preserve">Calculate VaR and CVaR at the specified confidence level from the loss distribution.</w:t>
      </w:r>
    </w:p>
    <w:p>
      <w:r>
        <w:br w:type="page"/>
      </w:r>
    </w:p>
    <w:p>
      <w:pPr>
        <w:pStyle w:val="Heading1"/>
      </w:pPr>
      <w:r>
        <w:t xml:space="preserve">5. Data Model and Inputs</w:t>
      </w:r>
    </w:p>
    <w:p>
      <w:pPr>
        <w:pStyle w:val="Heading2"/>
      </w:pPr>
      <w:r>
        <w:t xml:space="preserve">5.1 Bond-Level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ISIN or internal identifier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Issuer-level grouping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 (bp)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Option-adjusted spread as of valuation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spread_duration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 (yr)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Spread duration (DTS = OAS × spread duration)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mod_duration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 (yr)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Modified duration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Composite credit rating (AAA through BBB−)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BICS or GICS sector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maturity_bucket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Duration bucket (1–3y, 3–5y, 5–7y, 7–10y, 10y+)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mkt_value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value for benchmark weight computation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pd_annual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Annualised probability of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lgd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Loss given default (1 − recovery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cds_spread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 (bp)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CDS spread for market-implied PD (optional)</w:t>
            </w:r>
          </w:p>
        </w:tc>
      </w:tr>
    </w:tbl>
    <w:p>
      <w:pPr>
        <w:spacing w:after="200"/>
      </w:pPr>
    </w:p>
    <w:p>
      <w:pPr>
        <w:pStyle w:val="Heading2"/>
      </w:pPr>
      <w:r>
        <w:t xml:space="preserve">5.2 Market and Reference Data</w:t>
      </w:r>
    </w:p>
    <w:p>
      <w:pPr>
        <w:pStyle w:val="ListParagraph"/>
        <w:numPr>
          <w:ilvl w:val="0"/>
          <w:numId w:val="2"/>
        </w:numPr>
        <w:spacing w:after="80"/>
      </w:pPr>
      <w:r>
        <w:rPr>
          <w:rFonts w:ascii="Arial" w:cs="Arial" w:eastAsia="Arial" w:hAnsi="Arial"/>
          <w:color w:val="333333"/>
          <w:sz w:val="22"/>
          <w:szCs w:val="22"/>
        </w:rPr>
        <w:t xml:space="preserve">Historical OAS time series: daily, minimum 3 years, for covariance estimation</w:t>
      </w:r>
    </w:p>
    <w:p>
      <w:pPr>
        <w:pStyle w:val="ListParagraph"/>
        <w:numPr>
          <w:ilvl w:val="0"/>
          <w:numId w:val="2"/>
        </w:numPr>
        <w:spacing w:after="80"/>
      </w:pPr>
      <w:r>
        <w:rPr>
          <w:rFonts w:ascii="Arial" w:cs="Arial" w:eastAsia="Arial" w:hAnsi="Arial"/>
          <w:color w:val="333333"/>
          <w:sz w:val="22"/>
          <w:szCs w:val="22"/>
        </w:rPr>
        <w:t xml:space="preserve">Benchmark composition: index constituents with market-value weights</w:t>
      </w:r>
    </w:p>
    <w:p>
      <w:pPr>
        <w:pStyle w:val="ListParagraph"/>
        <w:numPr>
          <w:ilvl w:val="0"/>
          <w:numId w:val="2"/>
        </w:numPr>
        <w:spacing w:after="80"/>
      </w:pPr>
      <w:r>
        <w:rPr>
          <w:rFonts w:ascii="Arial" w:cs="Arial" w:eastAsia="Arial" w:hAnsi="Arial"/>
          <w:color w:val="333333"/>
          <w:sz w:val="22"/>
          <w:szCs w:val="22"/>
        </w:rPr>
        <w:t xml:space="preserve">Rating transition matrix: annual, sourced from Moody’s or S&amp;P (configurable)</w:t>
      </w:r>
    </w:p>
    <w:p>
      <w:pPr>
        <w:pStyle w:val="ListParagraph"/>
        <w:numPr>
          <w:ilvl w:val="0"/>
          <w:numId w:val="2"/>
        </w:numPr>
        <w:spacing w:after="80"/>
      </w:pPr>
      <w:r>
        <w:rPr>
          <w:rFonts w:ascii="Arial" w:cs="Arial" w:eastAsia="Arial" w:hAnsi="Arial"/>
          <w:color w:val="333333"/>
          <w:sz w:val="22"/>
          <w:szCs w:val="22"/>
        </w:rPr>
        <w:t xml:space="preserve">Recovery rate assumptions: by seniority and sector (default: 40% for senior unsecured)</w:t>
      </w:r>
    </w:p>
    <w:p>
      <w:pPr>
        <w:pStyle w:val="ListParagraph"/>
        <w:numPr>
          <w:ilvl w:val="0"/>
          <w:numId w:val="2"/>
        </w:numPr>
        <w:spacing w:after="80"/>
      </w:pPr>
      <w:r>
        <w:rPr>
          <w:rFonts w:ascii="Arial" w:cs="Arial" w:eastAsia="Arial" w:hAnsi="Arial"/>
          <w:color w:val="333333"/>
          <w:sz w:val="22"/>
          <w:szCs w:val="22"/>
        </w:rPr>
        <w:t xml:space="preserve">Risk-free curve: Treasury or OIS curve for discounting</w:t>
      </w:r>
    </w:p>
    <w:p>
      <w:pPr>
        <w:pStyle w:val="Heading2"/>
      </w:pPr>
      <w:r>
        <w:t xml:space="preserve">5.3 View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ABSOLUTE or RELATIVE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long_assets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Issuer IDs or sector/rating groups on the long 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short_assets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Issuer IDs or groups on the short side (relative views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magnitude_bp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Expected outperformance in basis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level in (0, 1], default 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horizon_months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View horizon in months (default: 12)</w:t>
            </w:r>
          </w:p>
        </w:tc>
      </w:tr>
    </w:tbl>
    <w:p>
      <w:r>
        <w:br w:type="page"/>
      </w:r>
    </w:p>
    <w:p>
      <w:pPr>
        <w:pStyle w:val="Heading1"/>
      </w:pPr>
      <w:r>
        <w:t xml:space="preserve">6. Constraints and Risk Limits</w:t>
      </w:r>
    </w:p>
    <w:p>
      <w:pPr>
        <w:spacing w:after="160"/>
      </w:pPr>
      <w:r>
        <w:rPr>
          <w:rFonts w:ascii="Arial" w:cs="Arial" w:eastAsia="Arial" w:hAnsi="Arial"/>
          <w:color w:val="333333"/>
          <w:sz w:val="22"/>
          <w:szCs w:val="22"/>
        </w:rPr>
        <w:t xml:space="preserve">The optimiser supports a rich constraint set reflecting typical IG mandate guidelines. All constraints are soft-configurable (can be enabled, disabled, or adjusted without code changes).</w:t>
      </w:r>
    </w:p>
    <w:p>
      <w:pPr>
        <w:pStyle w:val="Heading2"/>
      </w:pPr>
      <w:r>
        <w:t xml:space="preserve">6.1 Weight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Issuer max weight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or benchmark + 2%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Whichever is smaller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Sector max overweight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 + 10%</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Relative to benchmark sector weight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 bucket bounds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 ±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AAA/AA/A/BBB bucket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 bucket bounds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 ± 0.5yr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Contribution to portfolio duration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investment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∑w_i = 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Long-only, fully invested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position size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0.05%</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Avoids trivially small positions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limit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per quarter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of absolute weight changes</w:t>
            </w:r>
          </w:p>
        </w:tc>
      </w:tr>
    </w:tbl>
    <w:p>
      <w:pPr>
        <w:spacing w:after="200"/>
      </w:pPr>
    </w:p>
    <w:p>
      <w:pPr>
        <w:pStyle w:val="Heading2"/>
      </w:pPr>
      <w:r>
        <w:t xml:space="preserve">6.2 Risk Constraints</w:t>
      </w:r>
    </w:p>
    <w:p>
      <w:pPr>
        <w:pStyle w:val="ListParagraph"/>
        <w:numPr>
          <w:ilvl w:val="0"/>
          <w:numId w:val="2"/>
        </w:numPr>
        <w:spacing w:after="80"/>
      </w:pPr>
      <w:r>
        <w:rPr>
          <w:rFonts w:ascii="Arial" w:cs="Arial" w:eastAsia="Arial" w:hAnsi="Arial"/>
          <w:color w:val="333333"/>
          <w:sz w:val="22"/>
          <w:szCs w:val="22"/>
        </w:rPr>
        <w:t xml:space="preserve">Portfolio spread duration: within benchmark ± 0.25 years</w:t>
      </w:r>
    </w:p>
    <w:p>
      <w:pPr>
        <w:pStyle w:val="ListParagraph"/>
        <w:numPr>
          <w:ilvl w:val="0"/>
          <w:numId w:val="2"/>
        </w:numPr>
        <w:spacing w:after="80"/>
      </w:pPr>
      <w:r>
        <w:rPr>
          <w:rFonts w:ascii="Arial" w:cs="Arial" w:eastAsia="Arial" w:hAnsi="Arial"/>
          <w:color w:val="333333"/>
          <w:sz w:val="22"/>
          <w:szCs w:val="22"/>
        </w:rPr>
        <w:t xml:space="preserve">Tracking error (spread return): maximum 150 bp annualised vs. benchmark</w:t>
      </w:r>
    </w:p>
    <w:p>
      <w:pPr>
        <w:pStyle w:val="ListParagraph"/>
        <w:numPr>
          <w:ilvl w:val="0"/>
          <w:numId w:val="2"/>
        </w:numPr>
        <w:spacing w:after="80"/>
      </w:pPr>
      <w:r>
        <w:rPr>
          <w:rFonts w:ascii="Arial" w:cs="Arial" w:eastAsia="Arial" w:hAnsi="Arial"/>
          <w:color w:val="333333"/>
          <w:sz w:val="22"/>
          <w:szCs w:val="22"/>
        </w:rPr>
        <w:t xml:space="preserve">Credit VaR (99%, 1-year): maximum user-specified threshold (e.g., 3% of portfolio NAV)</w:t>
      </w:r>
    </w:p>
    <w:p>
      <w:pPr>
        <w:pStyle w:val="ListParagraph"/>
        <w:numPr>
          <w:ilvl w:val="0"/>
          <w:numId w:val="2"/>
        </w:numPr>
        <w:spacing w:after="80"/>
      </w:pPr>
      <w:r>
        <w:rPr>
          <w:rFonts w:ascii="Arial" w:cs="Arial" w:eastAsia="Arial" w:hAnsi="Arial"/>
          <w:color w:val="333333"/>
          <w:sz w:val="22"/>
          <w:szCs w:val="22"/>
        </w:rPr>
        <w:t xml:space="preserve">Maximum fallen-angel exposure: the sum of BBB− rated positions with negative rating outlook shall not exceed a configurable limit (default: 15% of NAV)</w:t>
      </w:r>
    </w:p>
    <w:p>
      <w:pPr>
        <w:pStyle w:val="ListParagraph"/>
        <w:numPr>
          <w:ilvl w:val="0"/>
          <w:numId w:val="2"/>
        </w:numPr>
        <w:spacing w:after="80"/>
      </w:pPr>
      <w:r>
        <w:rPr>
          <w:rFonts w:ascii="Arial" w:cs="Arial" w:eastAsia="Arial" w:hAnsi="Arial"/>
          <w:color w:val="333333"/>
          <w:sz w:val="22"/>
          <w:szCs w:val="22"/>
        </w:rPr>
        <w:t xml:space="preserve">DTS (Duration Times Spread) contribution: per-issuer DTS contribution capped to prevent concentration in high-spread, long-duration names</w:t>
      </w:r>
    </w:p>
    <w:p>
      <w:pPr>
        <w:pStyle w:val="Heading2"/>
      </w:pPr>
      <w:r>
        <w:t xml:space="preserve">6.3 Regulatory and ESG Constraints</w:t>
      </w:r>
    </w:p>
    <w:p>
      <w:pPr>
        <w:pStyle w:val="ListParagraph"/>
        <w:numPr>
          <w:ilvl w:val="0"/>
          <w:numId w:val="2"/>
        </w:numPr>
        <w:spacing w:after="80"/>
      </w:pPr>
      <w:r>
        <w:rPr>
          <w:rFonts w:ascii="Arial" w:cs="Arial" w:eastAsia="Arial" w:hAnsi="Arial"/>
          <w:color w:val="333333"/>
          <w:sz w:val="22"/>
          <w:szCs w:val="22"/>
        </w:rPr>
        <w:t xml:space="preserve">Sanctions and restricted list: hard exclusion of specified issuers</w:t>
      </w:r>
    </w:p>
    <w:p>
      <w:pPr>
        <w:pStyle w:val="ListParagraph"/>
        <w:numPr>
          <w:ilvl w:val="0"/>
          <w:numId w:val="2"/>
        </w:numPr>
        <w:spacing w:after="80"/>
      </w:pPr>
      <w:r>
        <w:rPr>
          <w:rFonts w:ascii="Arial" w:cs="Arial" w:eastAsia="Arial" w:hAnsi="Arial"/>
          <w:color w:val="333333"/>
          <w:sz w:val="22"/>
          <w:szCs w:val="22"/>
        </w:rPr>
        <w:t xml:space="preserve">ESG score floor: optional minimum ESG score (e.g., MSCI ESG rating of BB or above)</w:t>
      </w:r>
    </w:p>
    <w:p>
      <w:pPr>
        <w:pStyle w:val="ListParagraph"/>
        <w:numPr>
          <w:ilvl w:val="0"/>
          <w:numId w:val="2"/>
        </w:numPr>
        <w:spacing w:after="80"/>
      </w:pPr>
      <w:r>
        <w:rPr>
          <w:rFonts w:ascii="Arial" w:cs="Arial" w:eastAsia="Arial" w:hAnsi="Arial"/>
          <w:color w:val="333333"/>
          <w:sz w:val="22"/>
          <w:szCs w:val="22"/>
        </w:rPr>
        <w:t xml:space="preserve">Green bond / sustainability-linked minimum: optional floor on proportion of labelled bonds</w:t>
      </w:r>
    </w:p>
    <w:p>
      <w:r>
        <w:br w:type="page"/>
      </w:r>
    </w:p>
    <w:p>
      <w:pPr>
        <w:pStyle w:val="Heading1"/>
      </w:pPr>
      <w:r>
        <w:t xml:space="preserve">7. System Architecture</w:t>
      </w:r>
    </w:p>
    <w:p>
      <w:pPr>
        <w:pStyle w:val="Heading2"/>
      </w:pPr>
      <w:r>
        <w:t xml:space="preserve">7.1 High-Level Architecture</w:t>
      </w:r>
    </w:p>
    <w:p>
      <w:pPr>
        <w:spacing w:after="160"/>
      </w:pPr>
      <w:r>
        <w:rPr>
          <w:rFonts w:ascii="Arial" w:cs="Arial" w:eastAsia="Arial" w:hAnsi="Arial"/>
          <w:color w:val="333333"/>
          <w:sz w:val="22"/>
          <w:szCs w:val="22"/>
        </w:rPr>
        <w:t xml:space="preserve">The system is composed of four principal modules:</w:t>
      </w:r>
    </w:p>
    <w:p>
      <w:pPr>
        <w:pStyle w:val="ListParagraph"/>
        <w:numPr>
          <w:ilvl w:val="0"/>
          <w:numId w:val="5"/>
        </w:numPr>
        <w:spacing w:after="80"/>
      </w:pPr>
      <w:r>
        <w:rPr>
          <w:rFonts w:ascii="Arial" w:cs="Arial" w:eastAsia="Arial" w:hAnsi="Arial"/>
          <w:b/>
          <w:bCs/>
          <w:color w:val="333333"/>
          <w:sz w:val="22"/>
          <w:szCs w:val="22"/>
        </w:rPr>
        <w:t xml:space="preserve">Data Ingestion Layer: </w:t>
      </w:r>
      <w:r>
        <w:rPr>
          <w:rFonts w:ascii="Arial" w:cs="Arial" w:eastAsia="Arial" w:hAnsi="Arial"/>
          <w:color w:val="333333"/>
          <w:sz w:val="22"/>
          <w:szCs w:val="22"/>
        </w:rPr>
        <w:t xml:space="preserve">Ingests bond-level reference data, historical spread time series, benchmark constituents, and rating transition matrices from upstream data providers (Bloomberg, ICE, internal OMS). Validates, normalises, and stores data in a time-series database.</w:t>
      </w:r>
    </w:p>
    <w:p>
      <w:pPr>
        <w:pStyle w:val="ListParagraph"/>
        <w:numPr>
          <w:ilvl w:val="0"/>
          <w:numId w:val="5"/>
        </w:numPr>
        <w:spacing w:after="80"/>
      </w:pPr>
      <w:r>
        <w:rPr>
          <w:rFonts w:ascii="Arial" w:cs="Arial" w:eastAsia="Arial" w:hAnsi="Arial"/>
          <w:b/>
          <w:bCs/>
          <w:color w:val="333333"/>
          <w:sz w:val="22"/>
          <w:szCs w:val="22"/>
        </w:rPr>
        <w:t xml:space="preserve">Risk Engine: </w:t>
      </w:r>
      <w:r>
        <w:rPr>
          <w:rFonts w:ascii="Arial" w:cs="Arial" w:eastAsia="Arial" w:hAnsi="Arial"/>
          <w:color w:val="333333"/>
          <w:sz w:val="22"/>
          <w:szCs w:val="22"/>
        </w:rPr>
        <w:t xml:space="preserve">Computes the spread return covariance matrix, default probabilities, expected losses, and Credit VaR. Exposes these as structured objects to the optimiser.</w:t>
      </w:r>
    </w:p>
    <w:p>
      <w:pPr>
        <w:pStyle w:val="ListParagraph"/>
        <w:numPr>
          <w:ilvl w:val="0"/>
          <w:numId w:val="5"/>
        </w:numPr>
        <w:spacing w:after="80"/>
      </w:pPr>
      <w:r>
        <w:rPr>
          <w:rFonts w:ascii="Arial" w:cs="Arial" w:eastAsia="Arial" w:hAnsi="Arial"/>
          <w:b/>
          <w:bCs/>
          <w:color w:val="333333"/>
          <w:sz w:val="22"/>
          <w:szCs w:val="22"/>
        </w:rPr>
        <w:t xml:space="preserve">BL Optimiser Core: </w:t>
      </w:r>
      <w:r>
        <w:rPr>
          <w:rFonts w:ascii="Arial" w:cs="Arial" w:eastAsia="Arial" w:hAnsi="Arial"/>
          <w:color w:val="333333"/>
          <w:sz w:val="22"/>
          <w:szCs w:val="22"/>
        </w:rPr>
        <w:t xml:space="preserve">Implements the four-step BL pipeline (equilibrium returns → view blending → posterior moments → constrained optimisation). Accepts the risk engine outputs and view inputs, returns optimal weights.</w:t>
      </w:r>
    </w:p>
    <w:p>
      <w:pPr>
        <w:pStyle w:val="ListParagraph"/>
        <w:numPr>
          <w:ilvl w:val="0"/>
          <w:numId w:val="5"/>
        </w:numPr>
        <w:spacing w:after="80"/>
      </w:pPr>
      <w:r>
        <w:rPr>
          <w:rFonts w:ascii="Arial" w:cs="Arial" w:eastAsia="Arial" w:hAnsi="Arial"/>
          <w:b/>
          <w:bCs/>
          <w:color w:val="333333"/>
          <w:sz w:val="22"/>
          <w:szCs w:val="22"/>
        </w:rPr>
        <w:t xml:space="preserve">Output and Reporting Layer: </w:t>
      </w:r>
      <w:r>
        <w:rPr>
          <w:rFonts w:ascii="Arial" w:cs="Arial" w:eastAsia="Arial" w:hAnsi="Arial"/>
          <w:color w:val="333333"/>
          <w:sz w:val="22"/>
          <w:szCs w:val="22"/>
        </w:rPr>
        <w:t xml:space="preserve">Produces trade lists, risk decomposition reports, attribution analysis, and scenario dashboards. Integrates with OMS for trade execution.</w:t>
      </w:r>
    </w:p>
    <w:p>
      <w:pPr>
        <w:pStyle w:val="Heading2"/>
      </w:pPr>
      <w: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3.11+ (NumPy, SciPy, pandas, cvxpy)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Optimisation solver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ECOS / MOSEK / Gurobi (configurable; MOSEK recommended for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Monte Carlo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NumPy vectorised simulation; optional GPU acceleration via CuPy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layer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FastAPI with Pydantic models for request/response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Time-series DB (Arctic / TimescaleDB) for spread histories; PostgreSQL for reference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Jinja2 templates rendering to PDF/HTML; optional Plotly dashboards</w:t>
            </w:r>
          </w:p>
        </w:tc>
      </w:tr>
    </w:tbl>
    <w:p>
      <w:pPr>
        <w:spacing w:after="200"/>
      </w:pPr>
    </w:p>
    <w:p>
      <w:pPr>
        <w:pStyle w:val="Heading2"/>
      </w:pPr>
      <w:r>
        <w:t xml:space="preserve">7.3 API Design</w:t>
      </w:r>
    </w:p>
    <w:p>
      <w:pPr>
        <w:spacing w:after="160"/>
      </w:pPr>
      <w:r>
        <w:rPr>
          <w:rFonts w:ascii="Arial" w:cs="Arial" w:eastAsia="Arial" w:hAnsi="Arial"/>
          <w:color w:val="333333"/>
          <w:sz w:val="22"/>
          <w:szCs w:val="22"/>
        </w:rPr>
        <w:t xml:space="preserve">The optimiser exposes a RESTful API with the following principal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/api/v1/optimise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BL optimisation with views and constraints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/api/v1/equilibrium</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Compute equilibrium returns only (no 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/api/v1/risk/covariance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 and return the spread covariance matrix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/api/v1/risk/credit-var</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Run Credit VaR simulation for a given portfolio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/api/v1/benchmark/{index}</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Retrieve benchmark composition and weights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/api/v1/scenario</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Run stress test / what-if analysis</w:t>
            </w:r>
          </w:p>
        </w:tc>
      </w:tr>
    </w:tbl>
    <w:p>
      <w:r>
        <w:br w:type="page"/>
      </w:r>
    </w:p>
    <w:p>
      <w:pPr>
        <w:pStyle w:val="Heading1"/>
      </w:pPr>
      <w:r>
        <w:t xml:space="preserve">8. Numerical Methods and Implementation</w:t>
      </w:r>
    </w:p>
    <w:p>
      <w:pPr>
        <w:pStyle w:val="Heading2"/>
      </w:pPr>
      <w:r>
        <w:t xml:space="preserve">8.1 Covariance Matrix Estimation</w:t>
      </w:r>
    </w:p>
    <w:p>
      <w:pPr>
        <w:spacing w:after="160"/>
      </w:pPr>
      <w:r>
        <w:rPr>
          <w:rFonts w:ascii="Arial" w:cs="Arial" w:eastAsia="Arial" w:hAnsi="Arial"/>
          <w:color w:val="333333"/>
          <w:sz w:val="22"/>
          <w:szCs w:val="22"/>
        </w:rPr>
        <w:t xml:space="preserve">The recommended structured factor model decomposes spread returns as:</w:t>
      </w:r>
    </w:p>
    <w:p>
      <w:pPr>
        <w:spacing w:after="160" w:before="160"/>
        <w:ind w:left="720"/>
      </w:pPr>
      <w:r>
        <w:rPr>
          <w:rFonts w:ascii="Cambria Math" w:cs="Cambria Math" w:eastAsia="Cambria Math" w:hAnsi="Cambria Math"/>
          <w:i/>
          <w:iCs/>
          <w:color w:val="333333"/>
          <w:sz w:val="22"/>
          <w:szCs w:val="22"/>
        </w:rPr>
        <w:t xml:space="preserve">r_i = β_sector(i) F_sector + β_rating(i) F_rating + β_curve(i) F_curve + ε_i</w:t>
      </w:r>
    </w:p>
    <w:p>
      <w:pPr>
        <w:spacing w:after="160"/>
      </w:pPr>
      <w:r>
        <w:rPr>
          <w:rFonts w:ascii="Arial" w:cs="Arial" w:eastAsia="Arial" w:hAnsi="Arial"/>
          <w:color w:val="333333"/>
          <w:sz w:val="22"/>
          <w:szCs w:val="22"/>
        </w:rPr>
        <w:t xml:space="preserve">where F are systematic spread factors and ε_i is the idiosyncratic residual. Factor loadings are estimated via cross-sectional regression, and the covariance matrix is reconstructed as Σ = B V Bᵀ + D, where V is the factor covariance and D is the diagonal idiosyncratic variance matrix. This produces a positive semi-definite matrix by construction.</w:t>
      </w:r>
    </w:p>
    <w:p>
      <w:pPr>
        <w:pStyle w:val="Heading2"/>
      </w:pPr>
      <w:r>
        <w:t xml:space="preserve">8.2 Solver Configuration</w:t>
      </w:r>
    </w:p>
    <w:p>
      <w:pPr>
        <w:spacing w:after="160"/>
      </w:pPr>
      <w:r>
        <w:rPr>
          <w:rFonts w:ascii="Arial" w:cs="Arial" w:eastAsia="Arial" w:hAnsi="Arial"/>
          <w:color w:val="333333"/>
          <w:sz w:val="22"/>
          <w:szCs w:val="22"/>
        </w:rPr>
        <w:t xml:space="preserve">The QP is formulated in standard form for cvxpy:</w:t>
      </w:r>
    </w:p>
    <w:p>
      <w:pPr>
        <w:pStyle w:val="ListParagraph"/>
        <w:numPr>
          <w:ilvl w:val="0"/>
          <w:numId w:val="2"/>
        </w:numPr>
        <w:spacing w:after="80"/>
      </w:pPr>
      <w:r>
        <w:rPr>
          <w:rFonts w:ascii="Arial" w:cs="Arial" w:eastAsia="Arial" w:hAnsi="Arial"/>
          <w:color w:val="333333"/>
          <w:sz w:val="22"/>
          <w:szCs w:val="22"/>
        </w:rPr>
        <w:t xml:space="preserve">Objective: maximise expected return minus risk penalty</w:t>
      </w:r>
    </w:p>
    <w:p>
      <w:pPr>
        <w:pStyle w:val="ListParagraph"/>
        <w:numPr>
          <w:ilvl w:val="0"/>
          <w:numId w:val="2"/>
        </w:numPr>
        <w:spacing w:after="80"/>
      </w:pPr>
      <w:r>
        <w:rPr>
          <w:rFonts w:ascii="Arial" w:cs="Arial" w:eastAsia="Arial" w:hAnsi="Arial"/>
          <w:color w:val="333333"/>
          <w:sz w:val="22"/>
          <w:szCs w:val="22"/>
        </w:rPr>
        <w:t xml:space="preserve">Linear constraints: weight bounds, sector/rating/duration limits, turnover</w:t>
      </w:r>
    </w:p>
    <w:p>
      <w:pPr>
        <w:pStyle w:val="ListParagraph"/>
        <w:numPr>
          <w:ilvl w:val="0"/>
          <w:numId w:val="2"/>
        </w:numPr>
        <w:spacing w:after="80"/>
      </w:pPr>
      <w:r>
        <w:rPr>
          <w:rFonts w:ascii="Arial" w:cs="Arial" w:eastAsia="Arial" w:hAnsi="Arial"/>
          <w:color w:val="333333"/>
          <w:sz w:val="22"/>
          <w:szCs w:val="22"/>
        </w:rPr>
        <w:t xml:space="preserve">Second-order cone constraint: tracking error limit (reformulated as a SOCP constraint)</w:t>
      </w:r>
    </w:p>
    <w:p>
      <w:pPr>
        <w:pStyle w:val="ListParagraph"/>
        <w:numPr>
          <w:ilvl w:val="0"/>
          <w:numId w:val="2"/>
        </w:numPr>
        <w:spacing w:after="80"/>
      </w:pPr>
      <w:r>
        <w:rPr>
          <w:rFonts w:ascii="Arial" w:cs="Arial" w:eastAsia="Arial" w:hAnsi="Arial"/>
          <w:color w:val="333333"/>
          <w:sz w:val="22"/>
          <w:szCs w:val="22"/>
        </w:rPr>
        <w:t xml:space="preserve">Credit VaR constraint: if active, solved via iterative linearisation or sample-based approximation</w:t>
      </w:r>
    </w:p>
    <w:p>
      <w:pPr>
        <w:spacing w:after="160"/>
      </w:pPr>
      <w:r>
        <w:rPr>
          <w:rFonts w:ascii="Arial" w:cs="Arial" w:eastAsia="Arial" w:hAnsi="Arial"/>
          <w:color w:val="333333"/>
          <w:sz w:val="22"/>
          <w:szCs w:val="22"/>
        </w:rPr>
        <w:t xml:space="preserve">Solver tolerances: primal and dual feasibility tolerance of 1e−8; optimality gap tolerance of 1e−6. Maximum iterations: 10,000.</w:t>
      </w:r>
    </w:p>
    <w:p>
      <w:pPr>
        <w:pStyle w:val="Heading2"/>
      </w:pPr>
      <w:r>
        <w:t xml:space="preserve">8.3 Monte Carlo Simulation for Credit VaR</w:t>
      </w:r>
    </w:p>
    <w:p>
      <w:pPr>
        <w:spacing w:after="160"/>
      </w:pPr>
      <w:r>
        <w:rPr>
          <w:rFonts w:ascii="Arial" w:cs="Arial" w:eastAsia="Arial" w:hAnsi="Arial"/>
          <w:color w:val="333333"/>
          <w:sz w:val="22"/>
          <w:szCs w:val="22"/>
        </w:rPr>
        <w:t xml:space="preserve">The simulation proceeds in the following steps:</w:t>
      </w:r>
    </w:p>
    <w:p>
      <w:pPr>
        <w:pStyle w:val="ListParagraph"/>
        <w:numPr>
          <w:ilvl w:val="0"/>
          <w:numId w:val="6"/>
        </w:numPr>
        <w:spacing w:after="80"/>
      </w:pPr>
      <w:r>
        <w:rPr>
          <w:rFonts w:ascii="Arial" w:cs="Arial" w:eastAsia="Arial" w:hAnsi="Arial"/>
          <w:color w:val="333333"/>
          <w:sz w:val="22"/>
          <w:szCs w:val="22"/>
        </w:rPr>
        <w:t xml:space="preserve">Generate N_sim (default: 100,000) correlated standard normal draws using a Cholesky decomposition of the asset correlation matrix.</w:t>
      </w:r>
    </w:p>
    <w:p>
      <w:pPr>
        <w:pStyle w:val="ListParagraph"/>
        <w:numPr>
          <w:ilvl w:val="0"/>
          <w:numId w:val="6"/>
        </w:numPr>
        <w:spacing w:after="80"/>
      </w:pPr>
      <w:r>
        <w:rPr>
          <w:rFonts w:ascii="Arial" w:cs="Arial" w:eastAsia="Arial" w:hAnsi="Arial"/>
          <w:color w:val="333333"/>
          <w:sz w:val="22"/>
          <w:szCs w:val="22"/>
        </w:rPr>
        <w:t xml:space="preserve">Map draws to uniform variates via the normal CDF, then to default/migration events using the transition matrix thresholds.</w:t>
      </w:r>
    </w:p>
    <w:p>
      <w:pPr>
        <w:pStyle w:val="ListParagraph"/>
        <w:numPr>
          <w:ilvl w:val="0"/>
          <w:numId w:val="6"/>
        </w:numPr>
        <w:spacing w:after="80"/>
      </w:pPr>
      <w:r>
        <w:rPr>
          <w:rFonts w:ascii="Arial" w:cs="Arial" w:eastAsia="Arial" w:hAnsi="Arial"/>
          <w:color w:val="333333"/>
          <w:sz w:val="22"/>
          <w:szCs w:val="22"/>
        </w:rPr>
        <w:t xml:space="preserve">For each scenario, compute portfolio loss as the sum of position-level losses from defaults, downgrades, and spread widening.</w:t>
      </w:r>
    </w:p>
    <w:p>
      <w:pPr>
        <w:pStyle w:val="ListParagraph"/>
        <w:numPr>
          <w:ilvl w:val="0"/>
          <w:numId w:val="6"/>
        </w:numPr>
        <w:spacing w:after="80"/>
      </w:pPr>
      <w:r>
        <w:rPr>
          <w:rFonts w:ascii="Arial" w:cs="Arial" w:eastAsia="Arial" w:hAnsi="Arial"/>
          <w:color w:val="333333"/>
          <w:sz w:val="22"/>
          <w:szCs w:val="22"/>
        </w:rPr>
        <w:t xml:space="preserve">Sort losses and compute VaR (quantile) and CVaR (tail expectation) at the specified confidence level.</w:t>
      </w:r>
    </w:p>
    <w:p>
      <w:pPr>
        <w:spacing w:after="160"/>
      </w:pPr>
      <w:r>
        <w:rPr>
          <w:rFonts w:ascii="Arial" w:cs="Arial" w:eastAsia="Arial" w:hAnsi="Arial"/>
          <w:color w:val="333333"/>
          <w:sz w:val="22"/>
          <w:szCs w:val="22"/>
        </w:rPr>
        <w:t xml:space="preserve">Convergence is verified by computing the standard error of the CVaR estimate and ensuring it is below 5% of the point estimate.</w:t>
      </w:r>
    </w:p>
    <w:p>
      <w:r>
        <w:br w:type="page"/>
      </w:r>
    </w:p>
    <w:p>
      <w:pPr>
        <w:pStyle w:val="Heading1"/>
      </w:pPr>
      <w:r>
        <w:t xml:space="preserve">9. Outputs and Reporting</w:t>
      </w:r>
    </w:p>
    <w:p>
      <w:pPr>
        <w:pStyle w:val="Heading2"/>
      </w:pPr>
      <w:r>
        <w:t xml:space="preserve">9.1 Primary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Optimal weights (w*)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Per-issuer weight vector with benchmark weights and active positions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 list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Buy/sell notional amounts to move from current to optimal portfolio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Posterior returns (μ_BL)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Blended expected excess returns per issuer, with decomposition into prior and view contributions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decomposition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Portfolio variance decomposed by sector, rating, curve factor, and idiosyncratic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 VaR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VaR and CVaR with loss distribution histogram, top-10 loss contributors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Constraint binding report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Which constraints are active, with shadow prices indicating marginal cost of tightening</w:t>
            </w:r>
          </w:p>
        </w:tc>
      </w:tr>
    </w:tbl>
    <w:p>
      <w:pPr>
        <w:spacing w:after="200"/>
      </w:pPr>
    </w:p>
    <w:p>
      <w:pPr>
        <w:pStyle w:val="Heading2"/>
      </w:pPr>
      <w:r>
        <w:t xml:space="preserve">9.2 Diagnostics</w:t>
      </w:r>
    </w:p>
    <w:p>
      <w:pPr>
        <w:pStyle w:val="ListParagraph"/>
        <w:numPr>
          <w:ilvl w:val="0"/>
          <w:numId w:val="2"/>
        </w:numPr>
        <w:spacing w:after="80"/>
      </w:pPr>
      <w:r>
        <w:rPr>
          <w:rFonts w:ascii="Arial" w:cs="Arial" w:eastAsia="Arial" w:hAnsi="Arial"/>
          <w:color w:val="333333"/>
          <w:sz w:val="22"/>
          <w:szCs w:val="22"/>
        </w:rPr>
        <w:t xml:space="preserve">Convergence status: solver termination status and optimality gap</w:t>
      </w:r>
    </w:p>
    <w:p>
      <w:pPr>
        <w:pStyle w:val="ListParagraph"/>
        <w:numPr>
          <w:ilvl w:val="0"/>
          <w:numId w:val="2"/>
        </w:numPr>
        <w:spacing w:after="80"/>
      </w:pPr>
      <w:r>
        <w:rPr>
          <w:rFonts w:ascii="Arial" w:cs="Arial" w:eastAsia="Arial" w:hAnsi="Arial"/>
          <w:color w:val="333333"/>
          <w:sz w:val="22"/>
          <w:szCs w:val="22"/>
        </w:rPr>
        <w:t xml:space="preserve">View impact analysis: marginal effect of each view on portfolio weights (sensitivity of w* to Q_k)</w:t>
      </w:r>
    </w:p>
    <w:p>
      <w:pPr>
        <w:pStyle w:val="ListParagraph"/>
        <w:numPr>
          <w:ilvl w:val="0"/>
          <w:numId w:val="2"/>
        </w:numPr>
        <w:spacing w:after="80"/>
      </w:pPr>
      <w:r>
        <w:rPr>
          <w:rFonts w:ascii="Arial" w:cs="Arial" w:eastAsia="Arial" w:hAnsi="Arial"/>
          <w:color w:val="333333"/>
          <w:sz w:val="22"/>
          <w:szCs w:val="22"/>
        </w:rPr>
        <w:t xml:space="preserve">Tilt decomposition: breakdown of active weights into view-driven vs. constraint-driven tilts</w:t>
      </w:r>
    </w:p>
    <w:p>
      <w:pPr>
        <w:pStyle w:val="ListParagraph"/>
        <w:numPr>
          <w:ilvl w:val="0"/>
          <w:numId w:val="2"/>
        </w:numPr>
        <w:spacing w:after="80"/>
      </w:pPr>
      <w:r>
        <w:rPr>
          <w:rFonts w:ascii="Arial" w:cs="Arial" w:eastAsia="Arial" w:hAnsi="Arial"/>
          <w:color w:val="333333"/>
          <w:sz w:val="22"/>
          <w:szCs w:val="22"/>
        </w:rPr>
        <w:t xml:space="preserve">Implied confidence: reverse-engineering the confidence level that would produce the optimised weights (Idzorek method)</w:t>
      </w:r>
    </w:p>
    <w:p>
      <w:pPr>
        <w:pStyle w:val="Heading2"/>
      </w:pPr>
      <w:r>
        <w:t xml:space="preserve">9.3 Scenario Analysis</w:t>
      </w:r>
    </w:p>
    <w:p>
      <w:pPr>
        <w:spacing w:after="160"/>
      </w:pPr>
      <w:r>
        <w:rPr>
          <w:rFonts w:ascii="Arial" w:cs="Arial" w:eastAsia="Arial" w:hAnsi="Arial"/>
          <w:color w:val="333333"/>
          <w:sz w:val="22"/>
          <w:szCs w:val="22"/>
        </w:rPr>
        <w:t xml:space="preserve">The system supports the following scenario types:</w:t>
      </w:r>
    </w:p>
    <w:p>
      <w:pPr>
        <w:pStyle w:val="ListParagraph"/>
        <w:numPr>
          <w:ilvl w:val="0"/>
          <w:numId w:val="2"/>
        </w:numPr>
        <w:spacing w:after="80"/>
      </w:pPr>
      <w:r>
        <w:rPr>
          <w:rFonts w:ascii="Arial" w:cs="Arial" w:eastAsia="Arial" w:hAnsi="Arial"/>
          <w:color w:val="333333"/>
          <w:sz w:val="22"/>
          <w:szCs w:val="22"/>
        </w:rPr>
        <w:t xml:space="preserve">Parallel spread shift: uniform spread widening/tightening across all issuers</w:t>
      </w:r>
    </w:p>
    <w:p>
      <w:pPr>
        <w:pStyle w:val="ListParagraph"/>
        <w:numPr>
          <w:ilvl w:val="0"/>
          <w:numId w:val="2"/>
        </w:numPr>
        <w:spacing w:after="80"/>
      </w:pPr>
      <w:r>
        <w:rPr>
          <w:rFonts w:ascii="Arial" w:cs="Arial" w:eastAsia="Arial" w:hAnsi="Arial"/>
          <w:color w:val="333333"/>
          <w:sz w:val="22"/>
          <w:szCs w:val="22"/>
        </w:rPr>
        <w:t xml:space="preserve">Sector stress: targeted spread shock to one or more sectors</w:t>
      </w:r>
    </w:p>
    <w:p>
      <w:pPr>
        <w:pStyle w:val="ListParagraph"/>
        <w:numPr>
          <w:ilvl w:val="0"/>
          <w:numId w:val="2"/>
        </w:numPr>
        <w:spacing w:after="80"/>
      </w:pPr>
      <w:r>
        <w:rPr>
          <w:rFonts w:ascii="Arial" w:cs="Arial" w:eastAsia="Arial" w:hAnsi="Arial"/>
          <w:color w:val="333333"/>
          <w:sz w:val="22"/>
          <w:szCs w:val="22"/>
        </w:rPr>
        <w:t xml:space="preserve">Rating migration stress: forced downgrade of BBB names to BB (fallen-angel scenario)</w:t>
      </w:r>
    </w:p>
    <w:p>
      <w:pPr>
        <w:pStyle w:val="ListParagraph"/>
        <w:numPr>
          <w:ilvl w:val="0"/>
          <w:numId w:val="2"/>
        </w:numPr>
        <w:spacing w:after="80"/>
      </w:pPr>
      <w:r>
        <w:rPr>
          <w:rFonts w:ascii="Arial" w:cs="Arial" w:eastAsia="Arial" w:hAnsi="Arial"/>
          <w:color w:val="333333"/>
          <w:sz w:val="22"/>
          <w:szCs w:val="22"/>
        </w:rPr>
        <w:t xml:space="preserve">Historical replay: application of historical spread changes (e.g., March 2020, 2015–16 energy crisis) to the current portfolio</w:t>
      </w:r>
    </w:p>
    <w:p>
      <w:r>
        <w:br w:type="page"/>
      </w:r>
    </w:p>
    <w:p>
      <w:pPr>
        <w:pStyle w:val="Heading1"/>
      </w:pPr>
      <w:r>
        <w:t xml:space="preserve">10. Edge Cases and Error Handling</w:t>
      </w:r>
    </w:p>
    <w:p>
      <w:pPr>
        <w:pStyle w:val="Heading2"/>
      </w:pPr>
      <w:r>
        <w:t xml:space="preserve">10.1 Infeasibility</w:t>
      </w:r>
    </w:p>
    <w:p>
      <w:pPr>
        <w:spacing w:after="160"/>
      </w:pPr>
      <w:r>
        <w:rPr>
          <w:rFonts w:ascii="Arial" w:cs="Arial" w:eastAsia="Arial" w:hAnsi="Arial"/>
          <w:color w:val="333333"/>
          <w:sz w:val="22"/>
          <w:szCs w:val="22"/>
        </w:rPr>
        <w:t xml:space="preserve">If the constraint set renders the QP infeasible, the system performs hierarchical constraint relaxation in the following order:</w:t>
      </w:r>
    </w:p>
    <w:p>
      <w:pPr>
        <w:pStyle w:val="ListParagraph"/>
        <w:numPr>
          <w:ilvl w:val="0"/>
          <w:numId w:val="7"/>
        </w:numPr>
        <w:spacing w:after="80"/>
      </w:pPr>
      <w:r>
        <w:rPr>
          <w:rFonts w:ascii="Arial" w:cs="Arial" w:eastAsia="Arial" w:hAnsi="Arial"/>
          <w:color w:val="333333"/>
          <w:sz w:val="22"/>
          <w:szCs w:val="22"/>
        </w:rPr>
        <w:t xml:space="preserve">Relax turnover constraint by 50%</w:t>
      </w:r>
    </w:p>
    <w:p>
      <w:pPr>
        <w:pStyle w:val="ListParagraph"/>
        <w:numPr>
          <w:ilvl w:val="0"/>
          <w:numId w:val="7"/>
        </w:numPr>
        <w:spacing w:after="80"/>
      </w:pPr>
      <w:r>
        <w:rPr>
          <w:rFonts w:ascii="Arial" w:cs="Arial" w:eastAsia="Arial" w:hAnsi="Arial"/>
          <w:color w:val="333333"/>
          <w:sz w:val="22"/>
          <w:szCs w:val="22"/>
        </w:rPr>
        <w:t xml:space="preserve">Widen issuer weight bounds by 1 percentage point</w:t>
      </w:r>
    </w:p>
    <w:p>
      <w:pPr>
        <w:pStyle w:val="ListParagraph"/>
        <w:numPr>
          <w:ilvl w:val="0"/>
          <w:numId w:val="7"/>
        </w:numPr>
        <w:spacing w:after="80"/>
      </w:pPr>
      <w:r>
        <w:rPr>
          <w:rFonts w:ascii="Arial" w:cs="Arial" w:eastAsia="Arial" w:hAnsi="Arial"/>
          <w:color w:val="333333"/>
          <w:sz w:val="22"/>
          <w:szCs w:val="22"/>
        </w:rPr>
        <w:t xml:space="preserve">Widen sector bounds by 2 percentage points</w:t>
      </w:r>
    </w:p>
    <w:p>
      <w:pPr>
        <w:pStyle w:val="ListParagraph"/>
        <w:numPr>
          <w:ilvl w:val="0"/>
          <w:numId w:val="7"/>
        </w:numPr>
        <w:spacing w:after="80"/>
      </w:pPr>
      <w:r>
        <w:rPr>
          <w:rFonts w:ascii="Arial" w:cs="Arial" w:eastAsia="Arial" w:hAnsi="Arial"/>
          <w:color w:val="333333"/>
          <w:sz w:val="22"/>
          <w:szCs w:val="22"/>
        </w:rPr>
        <w:t xml:space="preserve">If still infeasible, return an error with the minimal set of conflicting constraints (Irreducible Infeasible Subsystem)</w:t>
      </w:r>
    </w:p>
    <w:p>
      <w:pPr>
        <w:pStyle w:val="Heading2"/>
      </w:pPr>
      <w:r>
        <w:t xml:space="preserve">10.2 Degenerate Inputs</w:t>
      </w:r>
    </w:p>
    <w:p>
      <w:pPr>
        <w:pStyle w:val="ListParagraph"/>
        <w:numPr>
          <w:ilvl w:val="0"/>
          <w:numId w:val="2"/>
        </w:numPr>
        <w:spacing w:after="80"/>
      </w:pPr>
      <w:r>
        <w:rPr>
          <w:rFonts w:ascii="Arial" w:cs="Arial" w:eastAsia="Arial" w:hAnsi="Arial"/>
          <w:color w:val="333333"/>
          <w:sz w:val="22"/>
          <w:szCs w:val="22"/>
        </w:rPr>
        <w:t xml:space="preserve">Singular covariance matrix: add a small ridge (ε = 1e−6) to the diagonal and log a warning</w:t>
      </w:r>
    </w:p>
    <w:p>
      <w:pPr>
        <w:pStyle w:val="ListParagraph"/>
        <w:numPr>
          <w:ilvl w:val="0"/>
          <w:numId w:val="2"/>
        </w:numPr>
        <w:spacing w:after="80"/>
      </w:pPr>
      <w:r>
        <w:rPr>
          <w:rFonts w:ascii="Arial" w:cs="Arial" w:eastAsia="Arial" w:hAnsi="Arial"/>
          <w:color w:val="333333"/>
          <w:sz w:val="22"/>
          <w:szCs w:val="22"/>
        </w:rPr>
        <w:t xml:space="preserve">Zero or negative OAS: exclude the bond from optimisation and flag it in the output</w:t>
      </w:r>
    </w:p>
    <w:p>
      <w:pPr>
        <w:pStyle w:val="ListParagraph"/>
        <w:numPr>
          <w:ilvl w:val="0"/>
          <w:numId w:val="2"/>
        </w:numPr>
        <w:spacing w:after="80"/>
      </w:pPr>
      <w:r>
        <w:rPr>
          <w:rFonts w:ascii="Arial" w:cs="Arial" w:eastAsia="Arial" w:hAnsi="Arial"/>
          <w:color w:val="333333"/>
          <w:sz w:val="22"/>
          <w:szCs w:val="22"/>
        </w:rPr>
        <w:t xml:space="preserve">Missing data: if fewer than 60 observations exist for an issuer’s spread history, fall back to sector-average covariance for that name</w:t>
      </w:r>
    </w:p>
    <w:p>
      <w:pPr>
        <w:pStyle w:val="ListParagraph"/>
        <w:numPr>
          <w:ilvl w:val="0"/>
          <w:numId w:val="2"/>
        </w:numPr>
        <w:spacing w:after="80"/>
      </w:pPr>
      <w:r>
        <w:rPr>
          <w:rFonts w:ascii="Arial" w:cs="Arial" w:eastAsia="Arial" w:hAnsi="Arial"/>
          <w:color w:val="333333"/>
          <w:sz w:val="22"/>
          <w:szCs w:val="22"/>
        </w:rPr>
        <w:t xml:space="preserve">Contradictory views: if two views conflict (e.g., “A outperforms B” and “B outperforms A”), both are retained but a warning is issued, as the Bayesian framework will average them proportionally to their confidence</w:t>
      </w:r>
    </w:p>
    <w:p>
      <w:pPr>
        <w:pStyle w:val="Heading2"/>
      </w:pPr>
      <w:r>
        <w:t xml:space="preserve">10.3 Numerical Stability</w:t>
      </w:r>
    </w:p>
    <w:p>
      <w:pPr>
        <w:pStyle w:val="ListParagraph"/>
        <w:numPr>
          <w:ilvl w:val="0"/>
          <w:numId w:val="2"/>
        </w:numPr>
        <w:spacing w:after="80"/>
      </w:pPr>
      <w:r>
        <w:rPr>
          <w:rFonts w:ascii="Arial" w:cs="Arial" w:eastAsia="Arial" w:hAnsi="Arial"/>
          <w:color w:val="333333"/>
          <w:sz w:val="22"/>
          <w:szCs w:val="22"/>
        </w:rPr>
        <w:t xml:space="preserve">All matrix inversions use pseudo-inverse (Moore–Penrose) or Cholesky decomposition with fallback to eigenvalue truncation</w:t>
      </w:r>
    </w:p>
    <w:p>
      <w:pPr>
        <w:pStyle w:val="ListParagraph"/>
        <w:numPr>
          <w:ilvl w:val="0"/>
          <w:numId w:val="2"/>
        </w:numPr>
        <w:spacing w:after="80"/>
      </w:pPr>
      <w:r>
        <w:rPr>
          <w:rFonts w:ascii="Arial" w:cs="Arial" w:eastAsia="Arial" w:hAnsi="Arial"/>
          <w:color w:val="333333"/>
          <w:sz w:val="22"/>
          <w:szCs w:val="22"/>
        </w:rPr>
        <w:t xml:space="preserve">The τΣ + Ω system is solved via conjugate gradient if dimensionality exceeds 5,000 to avoid O(N³) cost</w:t>
      </w:r>
    </w:p>
    <w:p>
      <w:pPr>
        <w:pStyle w:val="ListParagraph"/>
        <w:numPr>
          <w:ilvl w:val="0"/>
          <w:numId w:val="2"/>
        </w:numPr>
        <w:spacing w:after="80"/>
      </w:pPr>
      <w:r>
        <w:rPr>
          <w:rFonts w:ascii="Arial" w:cs="Arial" w:eastAsia="Arial" w:hAnsi="Arial"/>
          <w:color w:val="333333"/>
          <w:sz w:val="22"/>
          <w:szCs w:val="22"/>
        </w:rPr>
        <w:t xml:space="preserve">Floating-point weights below the minimum position threshold (0.05%) are rounded to zero, and the residual is redistributed pro rata</w:t>
      </w:r>
    </w:p>
    <w:p>
      <w:r>
        <w:br w:type="page"/>
      </w:r>
    </w:p>
    <w:p>
      <w:pPr>
        <w:pStyle w:val="Heading1"/>
      </w:pPr>
      <w:r>
        <w:t xml:space="preserve">11. Validation and Testing</w:t>
      </w:r>
    </w:p>
    <w:p>
      <w:pPr>
        <w:pStyle w:val="Heading2"/>
      </w:pPr>
      <w:r>
        <w:t xml:space="preserve">11.1 Unit Tests</w:t>
      </w:r>
    </w:p>
    <w:p>
      <w:pPr>
        <w:pStyle w:val="ListParagraph"/>
        <w:numPr>
          <w:ilvl w:val="0"/>
          <w:numId w:val="2"/>
        </w:numPr>
        <w:spacing w:after="80"/>
      </w:pPr>
      <w:r>
        <w:rPr>
          <w:rFonts w:ascii="Arial" w:cs="Arial" w:eastAsia="Arial" w:hAnsi="Arial"/>
          <w:color w:val="333333"/>
          <w:sz w:val="22"/>
          <w:szCs w:val="22"/>
        </w:rPr>
        <w:t xml:space="preserve">Equilibrium returns: verify that π = δΣw reproduces known benchmark returns for a toy universe</w:t>
      </w:r>
    </w:p>
    <w:p>
      <w:pPr>
        <w:pStyle w:val="ListParagraph"/>
        <w:numPr>
          <w:ilvl w:val="0"/>
          <w:numId w:val="2"/>
        </w:numPr>
        <w:spacing w:after="80"/>
      </w:pPr>
      <w:r>
        <w:rPr>
          <w:rFonts w:ascii="Arial" w:cs="Arial" w:eastAsia="Arial" w:hAnsi="Arial"/>
          <w:color w:val="333333"/>
          <w:sz w:val="22"/>
          <w:szCs w:val="22"/>
        </w:rPr>
        <w:t xml:space="preserve">View blending: confirm that an absolute view with confidence 1.0 shifts the posterior fully toward Q</w:t>
      </w:r>
    </w:p>
    <w:p>
      <w:pPr>
        <w:pStyle w:val="ListParagraph"/>
        <w:numPr>
          <w:ilvl w:val="0"/>
          <w:numId w:val="2"/>
        </w:numPr>
        <w:spacing w:after="80"/>
      </w:pPr>
      <w:r>
        <w:rPr>
          <w:rFonts w:ascii="Arial" w:cs="Arial" w:eastAsia="Arial" w:hAnsi="Arial"/>
          <w:color w:val="333333"/>
          <w:sz w:val="22"/>
          <w:szCs w:val="22"/>
        </w:rPr>
        <w:t xml:space="preserve">Constraint satisfaction: verify all output weights satisfy every active constraint within solver tolerance</w:t>
      </w:r>
    </w:p>
    <w:p>
      <w:pPr>
        <w:pStyle w:val="ListParagraph"/>
        <w:numPr>
          <w:ilvl w:val="0"/>
          <w:numId w:val="2"/>
        </w:numPr>
        <w:spacing w:after="80"/>
      </w:pPr>
      <w:r>
        <w:rPr>
          <w:rFonts w:ascii="Arial" w:cs="Arial" w:eastAsia="Arial" w:hAnsi="Arial"/>
          <w:color w:val="333333"/>
          <w:sz w:val="22"/>
          <w:szCs w:val="22"/>
        </w:rPr>
        <w:t xml:space="preserve">Symmetry: relative view “A outperforms B by x” produces the mirror tilt of “B outperforms A by x”</w:t>
      </w:r>
    </w:p>
    <w:p>
      <w:pPr>
        <w:pStyle w:val="Heading2"/>
      </w:pPr>
      <w:r>
        <w:t xml:space="preserve">11.2 Integration Tests</w:t>
      </w:r>
    </w:p>
    <w:p>
      <w:pPr>
        <w:pStyle w:val="ListParagraph"/>
        <w:numPr>
          <w:ilvl w:val="0"/>
          <w:numId w:val="2"/>
        </w:numPr>
        <w:spacing w:after="80"/>
      </w:pPr>
      <w:r>
        <w:rPr>
          <w:rFonts w:ascii="Arial" w:cs="Arial" w:eastAsia="Arial" w:hAnsi="Arial"/>
          <w:color w:val="333333"/>
          <w:sz w:val="22"/>
          <w:szCs w:val="22"/>
        </w:rPr>
        <w:t xml:space="preserve">End-to-end pipeline with Bloomberg sample data: 500-name IG universe, 5 views, full constraint set</w:t>
      </w:r>
    </w:p>
    <w:p>
      <w:pPr>
        <w:pStyle w:val="ListParagraph"/>
        <w:numPr>
          <w:ilvl w:val="0"/>
          <w:numId w:val="2"/>
        </w:numPr>
        <w:spacing w:after="80"/>
      </w:pPr>
      <w:r>
        <w:rPr>
          <w:rFonts w:ascii="Arial" w:cs="Arial" w:eastAsia="Arial" w:hAnsi="Arial"/>
          <w:color w:val="333333"/>
          <w:sz w:val="22"/>
          <w:szCs w:val="22"/>
        </w:rPr>
        <w:t xml:space="preserve">Regression tests against a reference implementation (R / MATLAB) to ensure numerical agreement within 1 bp of return and 0.01% of weight</w:t>
      </w:r>
    </w:p>
    <w:p>
      <w:pPr>
        <w:pStyle w:val="Heading2"/>
      </w:pPr>
      <w:r>
        <w:t xml:space="preserve">11.3 Backtesting</w:t>
      </w:r>
    </w:p>
    <w:p>
      <w:pPr>
        <w:pStyle w:val="ListParagraph"/>
        <w:numPr>
          <w:ilvl w:val="0"/>
          <w:numId w:val="2"/>
        </w:numPr>
        <w:spacing w:after="80"/>
      </w:pPr>
      <w:r>
        <w:rPr>
          <w:rFonts w:ascii="Arial" w:cs="Arial" w:eastAsia="Arial" w:hAnsi="Arial"/>
          <w:color w:val="333333"/>
          <w:sz w:val="22"/>
          <w:szCs w:val="22"/>
        </w:rPr>
        <w:t xml:space="preserve">Rolling 12-month backtest over 2015–2025: compare BL-optimised portfolio Sharpe ratio, maximum drawdown, and information ratio against the benchmark and an equal-weight portfolio</w:t>
      </w:r>
    </w:p>
    <w:p>
      <w:pPr>
        <w:pStyle w:val="ListParagraph"/>
        <w:numPr>
          <w:ilvl w:val="0"/>
          <w:numId w:val="2"/>
        </w:numPr>
        <w:spacing w:after="80"/>
      </w:pPr>
      <w:r>
        <w:rPr>
          <w:rFonts w:ascii="Arial" w:cs="Arial" w:eastAsia="Arial" w:hAnsi="Arial"/>
          <w:color w:val="333333"/>
          <w:sz w:val="22"/>
          <w:szCs w:val="22"/>
        </w:rPr>
        <w:t xml:space="preserve">Transaction cost-adjusted backtest incorporating bid–ask spreads and market impact</w:t>
      </w:r>
    </w:p>
    <w:p>
      <w:r>
        <w:br w:type="page"/>
      </w:r>
    </w:p>
    <w:p>
      <w:pPr>
        <w:pStyle w:val="Heading1"/>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Option-Adjusted Spread: the spread over the risk-free curve after removing the effect of embedded options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Duration Times Spread: a measure of credit risk exposure combining spread level and spread sensitivity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CVaR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Conditional Value-at-Risk (Expected Shortfall): the expected loss in the tail beyond the VaR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Probability of Default: the likelihood of an issuer failing to meet debt obligations within a given horizon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LGD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Loss Given Default: the fraction of exposure lost if default occurs (1 minus recovery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Fallen Angel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 issuer downgraded from investment grade (BBB−) to high yield (BB+), typically causing forced selling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Tracking Error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standard deviation of the portfolio’s return difference relative to the benchmark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Quadratic Programme: an optimisation problem with a quadratic objective and linear constraints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Second-Order Cone Programme: a convex optimisation problem generalising QP, used for tracking error constraints</w:t>
            </w:r>
          </w:p>
        </w:tc>
      </w:tr>
    </w:tbl>
    <w:p>
      <w:pPr>
        <w:spacing w:before="400"/>
      </w:pPr>
    </w:p>
    <w:p>
      <w:pPr>
        <w:pBdr>
          <w:bottom w:val="single" w:color="2E75B6" w:sz="4" w:space="1"/>
        </w:pBdr>
        <w:spacing w:after="200" w:before="200"/>
      </w:pPr>
    </w:p>
    <w:p>
      <w:pPr>
        <w:spacing w:before="200"/>
        <w:jc w:val="center"/>
      </w:pPr>
      <w:r>
        <w:rPr>
          <w:rFonts w:ascii="Arial" w:cs="Arial" w:eastAsia="Arial" w:hAnsi="Arial"/>
          <w:i/>
          <w:iCs/>
          <w:color w:val="999999"/>
          <w:sz w:val="20"/>
          <w:szCs w:val="20"/>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BL Credit Optimiser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2026-03-25T00:05:37.694Z</dcterms:created>
  <dcterms:modified xsi:type="dcterms:W3CDTF">2026-03-25T00:05:37.694Z</dcterms:modified>
</cp:coreProperties>
</file>

<file path=docProps/custom.xml><?xml version="1.0" encoding="utf-8"?>
<Properties xmlns="http://schemas.openxmlformats.org/officeDocument/2006/custom-properties" xmlns:vt="http://schemas.openxmlformats.org/officeDocument/2006/docPropsVTypes"/>
</file>