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4E79"/>
          <w:sz w:val="34"/>
          <w:szCs w:val="34"/>
        </w:rPr>
        <w:t xml:space="preserve">SQL Server Administrator Access Review</w:t>
      </w:r>
    </w:p>
    <w:p>
      <w:pPr>
        <w:spacing w:after="60"/>
      </w:pPr>
      <w:r>
        <w:rPr>
          <w:rFonts w:ascii="Calibri" w:cs="Calibri" w:eastAsia="Calibri" w:hAnsi="Calibri"/>
          <w:color w:val="5C6B7A"/>
          <w:sz w:val="22"/>
          <w:szCs w:val="22"/>
        </w:rPr>
        <w:t xml:space="preserve">Who holds full control of our SQL Server estate, and what we recommend</w:t>
      </w:r>
    </w:p>
    <w:p>
      <w:pPr>
        <w:spacing w:after="200"/>
      </w:pPr>
      <w:r>
        <w:rPr>
          <w:rFonts w:ascii="Calibri" w:cs="Calibri" w:eastAsia="Calibri" w:hAnsi="Calibri"/>
          <w:i/>
          <w:iCs/>
          <w:color w:val="5C6B7A"/>
          <w:sz w:val="18"/>
          <w:szCs w:val="18"/>
        </w:rPr>
        <w:t xml:space="preserve">Prepared by Aasim Khalid, GS-IT  ·  22 September 2026  ·  Source: SQL Estate Assessment, run of 22 September 2026</w:t>
      </w:r>
    </w:p>
    <w:p>
      <w:pPr>
        <w:pBdr>
          <w:bottom w:val="single" w:color="D7DEE7" w:sz="6" w:space="1"/>
        </w:pBdr>
        <w:spacing w:after="160" w:before="60"/>
      </w:pPr>
      <w:r>
        <w:rPr>
          <w:sz w:val="2"/>
          <w:szCs w:val="2"/>
        </w:rPr>
        <w:t xml:space="preserve"/>
      </w:r>
    </w:p>
    <w:p>
      <w:pPr>
        <w:pStyle w:val="Heading1"/>
        <w:spacing w:after="120" w:before="260"/>
      </w:pPr>
      <w:r>
        <w:rPr>
          <w:rFonts w:ascii="Calibri" w:cs="Calibri" w:eastAsia="Calibri" w:hAnsi="Calibri"/>
          <w:b/>
          <w:bCs/>
          <w:color w:val="1F4E79"/>
          <w:sz w:val="28"/>
          <w:szCs w:val="28"/>
        </w:rPr>
        <w:t xml:space="preserve">Summary</w:t>
      </w:r>
    </w:p>
    <w:p>
      <w:pPr>
        <w:spacing w:after="140" w:line="276"/>
      </w:pPr>
      <w:r>
        <w:rPr>
          <w:rFonts w:ascii="Calibri" w:cs="Calibri" w:eastAsia="Calibri" w:hAnsi="Calibri"/>
          <w:sz w:val="21"/>
          <w:szCs w:val="21"/>
        </w:rPr>
        <w:t xml:space="preserve">"Sysadmin" is the highest level of access in SQL Server. An account with it can read, change or delete any data on that server, alter security, and switch off auditing. It is the equivalent of a master key to the building.</w:t>
      </w:r>
    </w:p>
    <w:p>
      <w:pPr>
        <w:spacing w:after="140" w:line="276"/>
      </w:pPr>
      <w:r>
        <w:rPr>
          <w:rFonts w:ascii="Calibri" w:cs="Calibri" w:eastAsia="Calibri" w:hAnsi="Calibri"/>
          <w:sz w:val="21"/>
          <w:szCs w:val="21"/>
        </w:rPr>
        <w:t xml:space="preserve">We reviewed every account holding this access across 16 SQL Servers. We found 64 grants. Most of them are not people — they are application and monitoring accounts that were given full control because it was the quickest way to make something work at the time.</w:t>
      </w:r>
    </w:p>
    <w:p>
      <w:pPr>
        <w:spacing w:after="180" w:line="276"/>
      </w:pPr>
      <w:r>
        <w:rPr>
          <w:rFonts w:ascii="Calibri" w:cs="Calibri" w:eastAsia="Calibri" w:hAnsi="Calibri"/>
          <w:sz w:val="21"/>
          <w:szCs w:val="21"/>
        </w:rPr>
        <w:t xml:space="preserve">Nothing here indicates misuse, and no incident has occurred. </w:t>
      </w:r>
      <w:r>
        <w:rPr>
          <w:rFonts w:ascii="Calibri" w:cs="Calibri" w:eastAsia="Calibri" w:hAnsi="Calibri"/>
          <w:b/>
          <w:bCs/>
          <w:sz w:val="21"/>
          <w:szCs w:val="21"/>
        </w:rPr>
        <w:t xml:space="preserve">The concern is that access has only ever been added and never removed — the oldest grants still active date from 2017, and none of the 64 has ever been disabled.</w:t>
      </w:r>
    </w:p>
    <w:p>
      <w:pPr>
        <w:pStyle w:val="Heading1"/>
        <w:spacing w:after="120" w:before="260"/>
      </w:pPr>
      <w:r>
        <w:rPr>
          <w:rFonts w:ascii="Calibri" w:cs="Calibri" w:eastAsia="Calibri" w:hAnsi="Calibri"/>
          <w:b/>
          <w:bCs/>
          <w:color w:val="1F4E79"/>
          <w:sz w:val="28"/>
          <w:szCs w:val="28"/>
        </w:rPr>
        <w:t xml:space="preserve">What we found</w:t>
      </w:r>
    </w:p>
    <w:p>
      <w:pPr>
        <w:spacing w:after="140" w:line="276"/>
      </w:pPr>
      <w:r>
        <w:rPr>
          <w:rFonts w:ascii="Calibri" w:cs="Calibri" w:eastAsia="Calibri" w:hAnsi="Calibri"/>
          <w:sz w:val="21"/>
          <w:szCs w:val="21"/>
        </w:rPr>
        <w:t xml:space="preserve">Between them, these accounts hold 64 separate grants of full control across 16 servers.</w:t>
      </w:r>
    </w:p>
    <w:tbl>
      <w:tblPr>
        <w:tblW w:type="dxa" w:w="10080"/>
        <w:tblBorders>
          <w:top w:val="single" w:color="D7DEE7" w:sz="4"/>
          <w:left w:val="single" w:color="D7DEE7" w:sz="4"/>
          <w:bottom w:val="single" w:color="D7DEE7" w:sz="4"/>
          <w:right w:val="single" w:color="D7DEE7" w:sz="4"/>
          <w:insideH w:val="single" w:color="D7DEE7" w:sz="4"/>
          <w:insideV w:val="single" w:color="D7DEE7" w:sz="4"/>
        </w:tblBorders>
      </w:tblPr>
      <w:tblGrid>
        <w:gridCol w:w="2860"/>
        <w:gridCol w:w="1140"/>
        <w:gridCol w:w="3300"/>
        <w:gridCol w:w="2780"/>
      </w:tblGrid>
      <w:tr>
        <w:trPr>
          <w:tblHeader/>
        </w:trPr>
        <w:tc>
          <w:tcPr>
            <w:tcW w:type="dxa" w:w="2860"/>
            <w:shd w:fill="1F4E79" w:color="auto" w:val="clear"/>
            <w:tcMar>
              <w:top w:type="dxa" w:w="90"/>
              <w:left w:type="dxa" w:w="120"/>
              <w:bottom w:type="dxa" w:w="90"/>
              <w:right w:type="dxa" w:w="120"/>
            </w:tcMar>
          </w:tcPr>
          <w:p>
            <w:pPr>
              <w:spacing w:after="0" w:line="264"/>
            </w:pPr>
            <w:r>
              <w:rPr>
                <w:rFonts w:ascii="Calibri" w:cs="Calibri" w:eastAsia="Calibri" w:hAnsi="Calibri"/>
                <w:b/>
                <w:bCs/>
                <w:color w:val="FFFFFF"/>
                <w:sz w:val="20"/>
                <w:szCs w:val="20"/>
              </w:rPr>
              <w:t xml:space="preserve">What we found</w:t>
            </w:r>
          </w:p>
        </w:tc>
        <w:tc>
          <w:tcPr>
            <w:tcW w:type="dxa" w:w="1140"/>
            <w:shd w:fill="1F4E79" w:color="auto" w:val="clear"/>
            <w:tcMar>
              <w:top w:type="dxa" w:w="90"/>
              <w:left w:type="dxa" w:w="120"/>
              <w:bottom w:type="dxa" w:w="90"/>
              <w:right w:type="dxa" w:w="120"/>
            </w:tcMar>
          </w:tcPr>
          <w:p>
            <w:pPr>
              <w:spacing w:after="0" w:line="264"/>
              <w:jc w:val="center"/>
            </w:pPr>
            <w:r>
              <w:rPr>
                <w:rFonts w:ascii="Calibri" w:cs="Calibri" w:eastAsia="Calibri" w:hAnsi="Calibri"/>
                <w:b/>
                <w:bCs/>
                <w:color w:val="FFFFFF"/>
                <w:sz w:val="20"/>
                <w:szCs w:val="20"/>
              </w:rPr>
              <w:t xml:space="preserve">Accounts</w:t>
            </w:r>
          </w:p>
        </w:tc>
        <w:tc>
          <w:tcPr>
            <w:tcW w:type="dxa" w:w="3300"/>
            <w:shd w:fill="1F4E79" w:color="auto" w:val="clear"/>
            <w:tcMar>
              <w:top w:type="dxa" w:w="90"/>
              <w:left w:type="dxa" w:w="120"/>
              <w:bottom w:type="dxa" w:w="90"/>
              <w:right w:type="dxa" w:w="120"/>
            </w:tcMar>
          </w:tcPr>
          <w:p>
            <w:pPr>
              <w:spacing w:after="0" w:line="264"/>
            </w:pPr>
            <w:r>
              <w:rPr>
                <w:rFonts w:ascii="Calibri" w:cs="Calibri" w:eastAsia="Calibri" w:hAnsi="Calibri"/>
                <w:b/>
                <w:bCs/>
                <w:color w:val="FFFFFF"/>
                <w:sz w:val="20"/>
                <w:szCs w:val="20"/>
              </w:rPr>
              <w:t xml:space="preserve">Why it matters</w:t>
            </w:r>
          </w:p>
        </w:tc>
        <w:tc>
          <w:tcPr>
            <w:tcW w:type="dxa" w:w="2780"/>
            <w:shd w:fill="1F4E79" w:color="auto" w:val="clear"/>
            <w:tcMar>
              <w:top w:type="dxa" w:w="90"/>
              <w:left w:type="dxa" w:w="120"/>
              <w:bottom w:type="dxa" w:w="90"/>
              <w:right w:type="dxa" w:w="120"/>
            </w:tcMar>
          </w:tcPr>
          <w:p>
            <w:pPr>
              <w:spacing w:after="0" w:line="264"/>
            </w:pPr>
            <w:r>
              <w:rPr>
                <w:rFonts w:ascii="Calibri" w:cs="Calibri" w:eastAsia="Calibri" w:hAnsi="Calibri"/>
                <w:b/>
                <w:bCs/>
                <w:color w:val="FFFFFF"/>
                <w:sz w:val="20"/>
                <w:szCs w:val="20"/>
              </w:rPr>
              <w:t xml:space="preserve">What we propose</w:t>
            </w:r>
          </w:p>
        </w:tc>
      </w:tr>
      <w:tr>
        <w:tc>
          <w:tcPr>
            <w:tcW w:type="dxa" w:w="2860"/>
            <w:tcMar>
              <w:top w:type="dxa" w:w="90"/>
              <w:left w:type="dxa" w:w="120"/>
              <w:bottom w:type="dxa" w:w="90"/>
              <w:right w:type="dxa" w:w="120"/>
            </w:tcMar>
          </w:tcPr>
          <w:p>
            <w:pPr>
              <w:spacing w:after="0" w:line="264"/>
            </w:pPr>
            <w:r>
              <w:rPr>
                <w:rFonts w:ascii="Calibri" w:cs="Calibri" w:eastAsia="Calibri" w:hAnsi="Calibri"/>
                <w:sz w:val="20"/>
                <w:szCs w:val="20"/>
              </w:rPr>
              <w:t xml:space="preserve">Software holding full control it does not need — monitoring tools, reporting jobs and data transfers</w:t>
            </w:r>
          </w:p>
        </w:tc>
        <w:tc>
          <w:tcPr>
            <w:tcW w:type="dxa" w:w="1140"/>
            <w:tcMar>
              <w:top w:type="dxa" w:w="90"/>
              <w:left w:type="dxa" w:w="120"/>
              <w:bottom w:type="dxa" w:w="90"/>
              <w:right w:type="dxa" w:w="120"/>
            </w:tcMar>
          </w:tcPr>
          <w:p>
            <w:pPr>
              <w:spacing w:after="0" w:line="264"/>
              <w:jc w:val="center"/>
            </w:pPr>
            <w:r>
              <w:rPr>
                <w:rFonts w:ascii="Calibri" w:cs="Calibri" w:eastAsia="Calibri" w:hAnsi="Calibri"/>
                <w:b w:val="false"/>
                <w:bCs w:val="false"/>
                <w:sz w:val="20"/>
                <w:szCs w:val="20"/>
              </w:rPr>
              <w:t xml:space="preserve">22</w:t>
            </w:r>
          </w:p>
        </w:tc>
        <w:tc>
          <w:tcPr>
            <w:tcW w:type="dxa" w:w="3300"/>
            <w:tcMar>
              <w:top w:type="dxa" w:w="90"/>
              <w:left w:type="dxa" w:w="120"/>
              <w:bottom w:type="dxa" w:w="90"/>
              <w:right w:type="dxa" w:w="120"/>
            </w:tcMar>
          </w:tcPr>
          <w:p>
            <w:pPr>
              <w:spacing w:after="0" w:line="264"/>
            </w:pPr>
            <w:r>
              <w:rPr>
                <w:rFonts w:ascii="Calibri" w:cs="Calibri" w:eastAsia="Calibri" w:hAnsi="Calibri"/>
                <w:b w:val="false"/>
                <w:bCs w:val="false"/>
                <w:sz w:val="20"/>
                <w:szCs w:val="20"/>
              </w:rPr>
              <w:t xml:space="preserve">Each is a password that never changes and belongs to no individual. If one is compromised, the attacker has complete control of that server.</w:t>
            </w:r>
          </w:p>
        </w:tc>
        <w:tc>
          <w:tcPr>
            <w:tcW w:type="dxa" w:w="2780"/>
            <w:tcMar>
              <w:top w:type="dxa" w:w="90"/>
              <w:left w:type="dxa" w:w="120"/>
              <w:bottom w:type="dxa" w:w="90"/>
              <w:right w:type="dxa" w:w="120"/>
            </w:tcMar>
          </w:tcPr>
          <w:p>
            <w:pPr>
              <w:spacing w:after="0" w:line="264"/>
            </w:pPr>
            <w:r>
              <w:rPr>
                <w:rFonts w:ascii="Calibri" w:cs="Calibri" w:eastAsia="Calibri" w:hAnsi="Calibri"/>
                <w:b w:val="false"/>
                <w:bCs w:val="false"/>
                <w:sz w:val="20"/>
                <w:szCs w:val="20"/>
              </w:rPr>
              <w:t xml:space="preserve">Reduce to the access each one actually needs</w:t>
            </w:r>
          </w:p>
        </w:tc>
      </w:tr>
      <w:tr>
        <w:tc>
          <w:tcPr>
            <w:tcW w:type="dxa" w:w="2860"/>
            <w:shd w:fill="F4F7FA" w:color="auto" w:val="clear"/>
            <w:tcMar>
              <w:top w:type="dxa" w:w="90"/>
              <w:left w:type="dxa" w:w="120"/>
              <w:bottom w:type="dxa" w:w="90"/>
              <w:right w:type="dxa" w:w="120"/>
            </w:tcMar>
          </w:tcPr>
          <w:p>
            <w:pPr>
              <w:spacing w:after="0" w:line="264"/>
            </w:pPr>
            <w:r>
              <w:rPr>
                <w:rFonts w:ascii="Calibri" w:cs="Calibri" w:eastAsia="Calibri" w:hAnsi="Calibri"/>
                <w:sz w:val="20"/>
                <w:szCs w:val="20"/>
              </w:rPr>
              <w:t xml:space="preserve">Staff whose everyday login has full control</w:t>
            </w:r>
          </w:p>
        </w:tc>
        <w:tc>
          <w:tcPr>
            <w:tcW w:type="dxa" w:w="1140"/>
            <w:shd w:fill="F4F7FA" w:color="auto" w:val="clear"/>
            <w:tcMar>
              <w:top w:type="dxa" w:w="90"/>
              <w:left w:type="dxa" w:w="120"/>
              <w:bottom w:type="dxa" w:w="90"/>
              <w:right w:type="dxa" w:w="120"/>
            </w:tcMar>
          </w:tcPr>
          <w:p>
            <w:pPr>
              <w:spacing w:after="0" w:line="264"/>
              <w:jc w:val="center"/>
            </w:pPr>
            <w:r>
              <w:rPr>
                <w:rFonts w:ascii="Calibri" w:cs="Calibri" w:eastAsia="Calibri" w:hAnsi="Calibri"/>
                <w:b w:val="false"/>
                <w:bCs w:val="false"/>
                <w:sz w:val="20"/>
                <w:szCs w:val="20"/>
              </w:rPr>
              <w:t xml:space="preserve">8</w:t>
            </w:r>
          </w:p>
        </w:tc>
        <w:tc>
          <w:tcPr>
            <w:tcW w:type="dxa" w:w="3300"/>
            <w:shd w:fill="F4F7FA" w:color="auto" w:val="clear"/>
            <w:tcMar>
              <w:top w:type="dxa" w:w="90"/>
              <w:left w:type="dxa" w:w="120"/>
              <w:bottom w:type="dxa" w:w="90"/>
              <w:right w:type="dxa" w:w="120"/>
            </w:tcMar>
          </w:tcPr>
          <w:p>
            <w:pPr>
              <w:spacing w:after="0" w:line="264"/>
            </w:pPr>
            <w:r>
              <w:rPr>
                <w:rFonts w:ascii="Calibri" w:cs="Calibri" w:eastAsia="Calibri" w:hAnsi="Calibri"/>
                <w:b w:val="false"/>
                <w:bCs w:val="false"/>
                <w:sz w:val="20"/>
                <w:szCs w:val="20"/>
              </w:rPr>
              <w:t xml:space="preserve">This is the same login used for email and web browsing. One phishing email or one unlocked laptop is enough to reach every database on that server.</w:t>
            </w:r>
          </w:p>
        </w:tc>
        <w:tc>
          <w:tcPr>
            <w:tcW w:type="dxa" w:w="2780"/>
            <w:shd w:fill="F4F7FA" w:color="auto" w:val="clear"/>
            <w:tcMar>
              <w:top w:type="dxa" w:w="90"/>
              <w:left w:type="dxa" w:w="120"/>
              <w:bottom w:type="dxa" w:w="90"/>
              <w:right w:type="dxa" w:w="120"/>
            </w:tcMar>
          </w:tcPr>
          <w:p>
            <w:pPr>
              <w:spacing w:after="0" w:line="264"/>
            </w:pPr>
            <w:r>
              <w:rPr>
                <w:rFonts w:ascii="Calibri" w:cs="Calibri" w:eastAsia="Calibri" w:hAnsi="Calibri"/>
                <w:b w:val="false"/>
                <w:bCs w:val="false"/>
                <w:sz w:val="20"/>
                <w:szCs w:val="20"/>
              </w:rPr>
              <w:t xml:space="preserve">Move to a dedicated administrator login</w:t>
            </w:r>
          </w:p>
        </w:tc>
      </w:tr>
      <w:tr>
        <w:tc>
          <w:tcPr>
            <w:tcW w:type="dxa" w:w="2860"/>
            <w:tcMar>
              <w:top w:type="dxa" w:w="90"/>
              <w:left w:type="dxa" w:w="120"/>
              <w:bottom w:type="dxa" w:w="90"/>
              <w:right w:type="dxa" w:w="120"/>
            </w:tcMar>
          </w:tcPr>
          <w:p>
            <w:pPr>
              <w:spacing w:after="0" w:line="264"/>
            </w:pPr>
            <w:r>
              <w:rPr>
                <w:rFonts w:ascii="Calibri" w:cs="Calibri" w:eastAsia="Calibri" w:hAnsi="Calibri"/>
                <w:sz w:val="20"/>
                <w:szCs w:val="20"/>
              </w:rPr>
              <w:t xml:space="preserve">Staff using a dedicated administrator login, as intended</w:t>
            </w:r>
          </w:p>
        </w:tc>
        <w:tc>
          <w:tcPr>
            <w:tcW w:type="dxa" w:w="1140"/>
            <w:tcMar>
              <w:top w:type="dxa" w:w="90"/>
              <w:left w:type="dxa" w:w="120"/>
              <w:bottom w:type="dxa" w:w="90"/>
              <w:right w:type="dxa" w:w="120"/>
            </w:tcMar>
          </w:tcPr>
          <w:p>
            <w:pPr>
              <w:spacing w:after="0" w:line="264"/>
              <w:jc w:val="center"/>
            </w:pPr>
            <w:r>
              <w:rPr>
                <w:rFonts w:ascii="Calibri" w:cs="Calibri" w:eastAsia="Calibri" w:hAnsi="Calibri"/>
                <w:b w:val="false"/>
                <w:bCs w:val="false"/>
                <w:sz w:val="20"/>
                <w:szCs w:val="20"/>
              </w:rPr>
              <w:t xml:space="preserve">9</w:t>
            </w:r>
          </w:p>
        </w:tc>
        <w:tc>
          <w:tcPr>
            <w:tcW w:type="dxa" w:w="3300"/>
            <w:tcMar>
              <w:top w:type="dxa" w:w="90"/>
              <w:left w:type="dxa" w:w="120"/>
              <w:bottom w:type="dxa" w:w="90"/>
              <w:right w:type="dxa" w:w="120"/>
            </w:tcMar>
          </w:tcPr>
          <w:p>
            <w:pPr>
              <w:spacing w:after="0" w:line="264"/>
            </w:pPr>
            <w:r>
              <w:rPr>
                <w:rFonts w:ascii="Calibri" w:cs="Calibri" w:eastAsia="Calibri" w:hAnsi="Calibri"/>
                <w:b w:val="false"/>
                <w:bCs w:val="false"/>
                <w:sz w:val="20"/>
                <w:szCs w:val="20"/>
              </w:rPr>
              <w:t xml:space="preserve">Correct practice. The weakness is that it is granted server by server, so no single list exists of who holds it.</w:t>
            </w:r>
          </w:p>
        </w:tc>
        <w:tc>
          <w:tcPr>
            <w:tcW w:type="dxa" w:w="2780"/>
            <w:tcMar>
              <w:top w:type="dxa" w:w="90"/>
              <w:left w:type="dxa" w:w="120"/>
              <w:bottom w:type="dxa" w:w="90"/>
              <w:right w:type="dxa" w:w="120"/>
            </w:tcMar>
          </w:tcPr>
          <w:p>
            <w:pPr>
              <w:spacing w:after="0" w:line="264"/>
            </w:pPr>
            <w:r>
              <w:rPr>
                <w:rFonts w:ascii="Calibri" w:cs="Calibri" w:eastAsia="Calibri" w:hAnsi="Calibri"/>
                <w:b w:val="false"/>
                <w:bCs w:val="false"/>
                <w:sz w:val="20"/>
                <w:szCs w:val="20"/>
              </w:rPr>
              <w:t xml:space="preserve">Grant through one directory group instead</w:t>
            </w:r>
          </w:p>
        </w:tc>
      </w:tr>
      <w:tr>
        <w:tc>
          <w:tcPr>
            <w:tcW w:type="dxa" w:w="2860"/>
            <w:shd w:fill="F4F7FA" w:color="auto" w:val="clear"/>
            <w:tcMar>
              <w:top w:type="dxa" w:w="90"/>
              <w:left w:type="dxa" w:w="120"/>
              <w:bottom w:type="dxa" w:w="90"/>
              <w:right w:type="dxa" w:w="120"/>
            </w:tcMar>
          </w:tcPr>
          <w:p>
            <w:pPr>
              <w:spacing w:after="0" w:line="264"/>
            </w:pPr>
            <w:r>
              <w:rPr>
                <w:rFonts w:ascii="Calibri" w:cs="Calibri" w:eastAsia="Calibri" w:hAnsi="Calibri"/>
                <w:sz w:val="20"/>
                <w:szCs w:val="20"/>
              </w:rPr>
              <w:t xml:space="preserve">Accounts that exist only on the server, outside the company directory</w:t>
            </w:r>
          </w:p>
        </w:tc>
        <w:tc>
          <w:tcPr>
            <w:tcW w:type="dxa" w:w="1140"/>
            <w:shd w:fill="F4F7FA" w:color="auto" w:val="clear"/>
            <w:tcMar>
              <w:top w:type="dxa" w:w="90"/>
              <w:left w:type="dxa" w:w="120"/>
              <w:bottom w:type="dxa" w:w="90"/>
              <w:right w:type="dxa" w:w="120"/>
            </w:tcMar>
          </w:tcPr>
          <w:p>
            <w:pPr>
              <w:spacing w:after="0" w:line="264"/>
              <w:jc w:val="center"/>
            </w:pPr>
            <w:r>
              <w:rPr>
                <w:rFonts w:ascii="Calibri" w:cs="Calibri" w:eastAsia="Calibri" w:hAnsi="Calibri"/>
                <w:b w:val="false"/>
                <w:bCs w:val="false"/>
                <w:sz w:val="20"/>
                <w:szCs w:val="20"/>
              </w:rPr>
              <w:t xml:space="preserve">5</w:t>
            </w:r>
          </w:p>
        </w:tc>
        <w:tc>
          <w:tcPr>
            <w:tcW w:type="dxa" w:w="3300"/>
            <w:shd w:fill="F4F7FA" w:color="auto" w:val="clear"/>
            <w:tcMar>
              <w:top w:type="dxa" w:w="90"/>
              <w:left w:type="dxa" w:w="120"/>
              <w:bottom w:type="dxa" w:w="90"/>
              <w:right w:type="dxa" w:w="120"/>
            </w:tcMar>
          </w:tcPr>
          <w:p>
            <w:pPr>
              <w:spacing w:after="0" w:line="264"/>
            </w:pPr>
            <w:r>
              <w:rPr>
                <w:rFonts w:ascii="Calibri" w:cs="Calibri" w:eastAsia="Calibri" w:hAnsi="Calibri"/>
                <w:b w:val="false"/>
                <w:bCs w:val="false"/>
                <w:sz w:val="20"/>
                <w:szCs w:val="20"/>
              </w:rPr>
              <w:t xml:space="preserve">Invisible to our joiners and leavers process. If the holder had left the company, the account would still work. Unchanged since 2019.</w:t>
            </w:r>
          </w:p>
        </w:tc>
        <w:tc>
          <w:tcPr>
            <w:tcW w:type="dxa" w:w="2780"/>
            <w:shd w:fill="F4F7FA" w:color="auto" w:val="clear"/>
            <w:tcMar>
              <w:top w:type="dxa" w:w="90"/>
              <w:left w:type="dxa" w:w="120"/>
              <w:bottom w:type="dxa" w:w="90"/>
              <w:right w:type="dxa" w:w="120"/>
            </w:tcMar>
          </w:tcPr>
          <w:p>
            <w:pPr>
              <w:spacing w:after="0" w:line="264"/>
            </w:pPr>
            <w:r>
              <w:rPr>
                <w:rFonts w:ascii="Calibri" w:cs="Calibri" w:eastAsia="Calibri" w:hAnsi="Calibri"/>
                <w:b w:val="false"/>
                <w:bCs w:val="false"/>
                <w:sz w:val="20"/>
                <w:szCs w:val="20"/>
              </w:rPr>
              <w:t xml:space="preserve">Remove, and replace where still needed</w:t>
            </w:r>
          </w:p>
        </w:tc>
      </w:tr>
    </w:tbl>
    <w:p>
      <w:pPr>
        <w:spacing w:after="100"/>
      </w:pPr>
    </w:p>
    <w:p>
      <w:pPr>
        <w:spacing w:after="180" w:line="276"/>
      </w:pPr>
      <w:r>
        <w:rPr>
          <w:rFonts w:ascii="Calibri" w:cs="Calibri" w:eastAsia="Calibri" w:hAnsi="Calibri"/>
          <w:b/>
          <w:bCs/>
          <w:i/>
          <w:iCs/>
          <w:color w:val="5C6B7A"/>
          <w:sz w:val="21"/>
          <w:szCs w:val="21"/>
        </w:rPr>
        <w:t xml:space="preserve">Two caveats. </w:t>
      </w:r>
      <w:r>
        <w:rPr>
          <w:rFonts w:ascii="Calibri" w:cs="Calibri" w:eastAsia="Calibri" w:hAnsi="Calibri"/>
          <w:i/>
          <w:iCs/>
          <w:color w:val="5C6B7A"/>
          <w:sz w:val="21"/>
          <w:szCs w:val="21"/>
        </w:rPr>
        <w:t xml:space="preserve">First, this counts individually named accounts only — access is also granted through directory groups, and everyone inside those groups holds the same control, so the real number of people is higher. Second, whether an account belongs to a person or to a system is judged from its name, because SQL Server does not record it; the detail is being confirmed with the team.</w:t>
      </w:r>
    </w:p>
    <w:p>
      <w:pPr>
        <w:pStyle w:val="Heading1"/>
        <w:spacing w:after="120" w:before="260"/>
      </w:pPr>
      <w:r>
        <w:rPr>
          <w:rFonts w:ascii="Calibri" w:cs="Calibri" w:eastAsia="Calibri" w:hAnsi="Calibri"/>
          <w:b/>
          <w:bCs/>
          <w:color w:val="1F4E79"/>
          <w:sz w:val="28"/>
          <w:szCs w:val="28"/>
        </w:rPr>
        <w:t xml:space="preserve">The single point that matters most</w:t>
      </w:r>
    </w:p>
    <w:p>
      <w:pPr>
        <w:spacing w:after="180" w:line="276"/>
      </w:pPr>
      <w:r>
        <w:rPr>
          <w:rFonts w:ascii="Calibri" w:cs="Calibri" w:eastAsia="Calibri" w:hAnsi="Calibri"/>
          <w:b/>
          <w:bCs/>
          <w:sz w:val="21"/>
          <w:szCs w:val="21"/>
        </w:rPr>
        <w:t xml:space="preserve">Access has only ever been added, never removed. </w:t>
      </w:r>
      <w:r>
        <w:rPr>
          <w:rFonts w:ascii="Calibri" w:cs="Calibri" w:eastAsia="Calibri" w:hAnsi="Calibri"/>
          <w:sz w:val="21"/>
          <w:szCs w:val="21"/>
        </w:rPr>
        <w:t xml:space="preserve">Grants from 2017 are still active, and not one of the 64 has ever been switched off. Nobody has done anything wrong — each grant made sense on the day it was made. But without a review cycle this list only grows, and today nobody can answer "who can read our claims data?" without running a report.</w:t>
      </w:r>
    </w:p>
    <w:p>
      <w:pPr>
        <w:pStyle w:val="Heading1"/>
        <w:spacing w:after="120" w:before="260"/>
      </w:pPr>
      <w:r>
        <w:rPr>
          <w:rFonts w:ascii="Calibri" w:cs="Calibri" w:eastAsia="Calibri" w:hAnsi="Calibri"/>
          <w:b/>
          <w:bCs/>
          <w:color w:val="1F4E79"/>
          <w:sz w:val="28"/>
          <w:szCs w:val="28"/>
        </w:rPr>
        <w:t xml:space="preserve">What we recommend</w:t>
      </w:r>
    </w:p>
    <w:p>
      <w:pPr>
        <w:spacing w:after="140" w:line="276"/>
      </w:pPr>
      <w:r>
        <w:rPr>
          <w:rFonts w:ascii="Calibri" w:cs="Calibri" w:eastAsia="Calibri" w:hAnsi="Calibri"/>
          <w:sz w:val="21"/>
          <w:szCs w:val="21"/>
        </w:rPr>
        <w:t xml:space="preserve">We already use the right approach in one place — one server grants access through a directory group rather than to individuals. We propose applying that consistently:</w:t>
      </w:r>
    </w:p>
    <w:p>
      <w:pPr>
        <w:pStyle w:val="ListParagraph"/>
        <w:numPr>
          <w:ilvl w:val="0"/>
          <w:numId w:val="2"/>
        </w:numPr>
        <w:spacing w:after="90" w:line="276"/>
      </w:pPr>
      <w:r>
        <w:rPr>
          <w:rFonts w:ascii="Calibri" w:cs="Calibri" w:eastAsia="Calibri" w:hAnsi="Calibri"/>
          <w:b/>
          <w:bCs/>
          <w:sz w:val="21"/>
          <w:szCs w:val="21"/>
        </w:rPr>
        <w:t xml:space="preserve">Staff access through a single directory group. </w:t>
      </w:r>
      <w:r>
        <w:rPr>
          <w:rFonts w:ascii="Calibri" w:cs="Calibri" w:eastAsia="Calibri" w:hAnsi="Calibri"/>
          <w:sz w:val="21"/>
          <w:szCs w:val="21"/>
        </w:rPr>
        <w:t xml:space="preserve">Membership is then managed in one place, where our joiners and leavers process already reaches, instead of on 16 servers separately.</w:t>
      </w:r>
    </w:p>
    <w:p>
      <w:pPr>
        <w:pStyle w:val="ListParagraph"/>
        <w:numPr>
          <w:ilvl w:val="0"/>
          <w:numId w:val="2"/>
        </w:numPr>
        <w:spacing w:after="90" w:line="276"/>
      </w:pPr>
      <w:r>
        <w:rPr>
          <w:rFonts w:ascii="Calibri" w:cs="Calibri" w:eastAsia="Calibri" w:hAnsi="Calibri"/>
          <w:b/>
          <w:bCs/>
          <w:sz w:val="21"/>
          <w:szCs w:val="21"/>
        </w:rPr>
        <w:t xml:space="preserve">Administrator accounts only in that group. </w:t>
      </w:r>
      <w:r>
        <w:rPr>
          <w:rFonts w:ascii="Calibri" w:cs="Calibri" w:eastAsia="Calibri" w:hAnsi="Calibri"/>
          <w:sz w:val="21"/>
          <w:szCs w:val="21"/>
        </w:rPr>
        <w:t xml:space="preserve">Everyday accounts should not hold full control.</w:t>
      </w:r>
    </w:p>
    <w:p>
      <w:pPr>
        <w:pStyle w:val="ListParagraph"/>
        <w:numPr>
          <w:ilvl w:val="0"/>
          <w:numId w:val="2"/>
        </w:numPr>
        <w:spacing w:after="90" w:line="276"/>
      </w:pPr>
      <w:r>
        <w:rPr>
          <w:rFonts w:ascii="Calibri" w:cs="Calibri" w:eastAsia="Calibri" w:hAnsi="Calibri"/>
          <w:b/>
          <w:bCs/>
          <w:sz w:val="21"/>
          <w:szCs w:val="21"/>
        </w:rPr>
        <w:t xml:space="preserve">Application accounts stay individually named, </w:t>
      </w:r>
      <w:r>
        <w:rPr>
          <w:rFonts w:ascii="Calibri" w:cs="Calibri" w:eastAsia="Calibri" w:hAnsi="Calibri"/>
          <w:sz w:val="21"/>
          <w:szCs w:val="21"/>
        </w:rPr>
        <w:t xml:space="preserve">so we can always see which system is which — but most should be reduced to the access they actually need.</w:t>
      </w:r>
    </w:p>
    <w:p>
      <w:pPr>
        <w:pStyle w:val="ListParagraph"/>
        <w:numPr>
          <w:ilvl w:val="0"/>
          <w:numId w:val="2"/>
        </w:numPr>
        <w:spacing w:after="90" w:line="276"/>
      </w:pPr>
      <w:r>
        <w:rPr>
          <w:rFonts w:ascii="Calibri" w:cs="Calibri" w:eastAsia="Calibri" w:hAnsi="Calibri"/>
          <w:b/>
          <w:bCs/>
          <w:sz w:val="21"/>
          <w:szCs w:val="21"/>
        </w:rPr>
        <w:t xml:space="preserve">Remove the five accounts held outside the directory </w:t>
      </w:r>
      <w:r>
        <w:rPr>
          <w:rFonts w:ascii="Calibri" w:cs="Calibri" w:eastAsia="Calibri" w:hAnsi="Calibri"/>
          <w:sz w:val="21"/>
          <w:szCs w:val="21"/>
        </w:rPr>
        <w:t xml:space="preserve">and replace them where still required.</w:t>
      </w:r>
    </w:p>
    <w:p>
      <w:pPr>
        <w:pStyle w:val="ListParagraph"/>
        <w:numPr>
          <w:ilvl w:val="0"/>
          <w:numId w:val="2"/>
        </w:numPr>
        <w:spacing w:after="90" w:line="276"/>
      </w:pPr>
      <w:r>
        <w:rPr>
          <w:rFonts w:ascii="Calibri" w:cs="Calibri" w:eastAsia="Calibri" w:hAnsi="Calibri"/>
          <w:b/>
          <w:bCs/>
          <w:sz w:val="21"/>
          <w:szCs w:val="21"/>
        </w:rPr>
        <w:t xml:space="preserve">Review the list twice a year, </w:t>
      </w:r>
      <w:r>
        <w:rPr>
          <w:rFonts w:ascii="Calibri" w:cs="Calibri" w:eastAsia="Calibri" w:hAnsi="Calibri"/>
          <w:sz w:val="21"/>
          <w:szCs w:val="21"/>
        </w:rPr>
        <w:t xml:space="preserve">using the report this review came from.</w:t>
      </w:r>
    </w:p>
    <w:p>
      <w:pPr>
        <w:spacing w:after="180" w:line="276"/>
      </w:pPr>
      <w:r>
        <w:rPr>
          <w:rFonts w:ascii="Calibri" w:cs="Calibri" w:eastAsia="Calibri" w:hAnsi="Calibri"/>
          <w:sz w:val="21"/>
          <w:szCs w:val="21"/>
        </w:rPr>
        <w:t xml:space="preserve">This would reduce roughly 64 individual grants to one group plus a short, documented list of application accounts.</w:t>
      </w:r>
    </w:p>
    <w:p>
      <w:pPr>
        <w:pStyle w:val="Heading1"/>
        <w:spacing w:after="120" w:before="260"/>
      </w:pPr>
      <w:r>
        <w:rPr>
          <w:rFonts w:ascii="Calibri" w:cs="Calibri" w:eastAsia="Calibri" w:hAnsi="Calibri"/>
          <w:b/>
          <w:bCs/>
          <w:color w:val="1F4E79"/>
          <w:sz w:val="28"/>
          <w:szCs w:val="28"/>
        </w:rPr>
        <w:t xml:space="preserve">What we are asking for</w:t>
      </w:r>
    </w:p>
    <w:p>
      <w:pPr>
        <w:spacing w:after="140" w:line="276"/>
      </w:pPr>
      <w:r>
        <w:rPr>
          <w:rFonts w:ascii="Calibri" w:cs="Calibri" w:eastAsia="Calibri" w:hAnsi="Calibri"/>
          <w:sz w:val="21"/>
          <w:szCs w:val="21"/>
        </w:rPr>
        <w:t xml:space="preserve">Agreement to proceed, and time allocated for the work. We suggest it runs in stages rather than as a single change, because removing access from a monitoring account can stop that monitoring working. Each change would be tested in UAT before production.</w:t>
      </w:r>
    </w:p>
    <w:tbl>
      <w:tblPr>
        <w:tblW w:type="dxa" w:w="10080"/>
        <w:tblBorders>
          <w:top w:val="single" w:color="D7DEE7" w:sz="4"/>
          <w:left w:val="single" w:color="D7DEE7" w:sz="4"/>
          <w:bottom w:val="single" w:color="D7DEE7" w:sz="4"/>
          <w:right w:val="single" w:color="D7DEE7" w:sz="4"/>
          <w:insideH w:val="single" w:color="D7DEE7" w:sz="4"/>
          <w:insideV w:val="single" w:color="D7DEE7" w:sz="4"/>
        </w:tblBorders>
      </w:tblPr>
      <w:tblGrid>
        <w:gridCol w:w="900"/>
        <w:gridCol w:w="6180"/>
        <w:gridCol w:w="3000"/>
      </w:tblGrid>
      <w:tr>
        <w:trPr>
          <w:tblHeader/>
        </w:trPr>
        <w:tc>
          <w:tcPr>
            <w:tcW w:type="dxa" w:w="900"/>
            <w:shd w:fill="1F4E79" w:color="auto" w:val="clear"/>
            <w:tcMar>
              <w:top w:type="dxa" w:w="90"/>
              <w:left w:type="dxa" w:w="120"/>
              <w:bottom w:type="dxa" w:w="90"/>
              <w:right w:type="dxa" w:w="120"/>
            </w:tcMar>
          </w:tcPr>
          <w:p>
            <w:pPr>
              <w:spacing w:after="0" w:line="264"/>
            </w:pPr>
            <w:r>
              <w:rPr>
                <w:rFonts w:ascii="Calibri" w:cs="Calibri" w:eastAsia="Calibri" w:hAnsi="Calibri"/>
                <w:b/>
                <w:bCs/>
                <w:color w:val="FFFFFF"/>
                <w:sz w:val="20"/>
                <w:szCs w:val="20"/>
              </w:rPr>
              <w:t xml:space="preserve">Stage</w:t>
            </w:r>
          </w:p>
        </w:tc>
        <w:tc>
          <w:tcPr>
            <w:tcW w:type="dxa" w:w="6180"/>
            <w:shd w:fill="1F4E79" w:color="auto" w:val="clear"/>
            <w:tcMar>
              <w:top w:type="dxa" w:w="90"/>
              <w:left w:type="dxa" w:w="120"/>
              <w:bottom w:type="dxa" w:w="90"/>
              <w:right w:type="dxa" w:w="120"/>
            </w:tcMar>
          </w:tcPr>
          <w:p>
            <w:pPr>
              <w:spacing w:after="0" w:line="264"/>
            </w:pPr>
            <w:r>
              <w:rPr>
                <w:rFonts w:ascii="Calibri" w:cs="Calibri" w:eastAsia="Calibri" w:hAnsi="Calibri"/>
                <w:b/>
                <w:bCs/>
                <w:color w:val="FFFFFF"/>
                <w:sz w:val="20"/>
                <w:szCs w:val="20"/>
              </w:rPr>
              <w:t xml:space="preserve">What it covers</w:t>
            </w:r>
          </w:p>
        </w:tc>
        <w:tc>
          <w:tcPr>
            <w:tcW w:type="dxa" w:w="3000"/>
            <w:shd w:fill="1F4E79" w:color="auto" w:val="clear"/>
            <w:tcMar>
              <w:top w:type="dxa" w:w="90"/>
              <w:left w:type="dxa" w:w="120"/>
              <w:bottom w:type="dxa" w:w="90"/>
              <w:right w:type="dxa" w:w="120"/>
            </w:tcMar>
          </w:tcPr>
          <w:p>
            <w:pPr>
              <w:spacing w:after="0" w:line="264"/>
              <w:jc w:val="center"/>
            </w:pPr>
            <w:r>
              <w:rPr>
                <w:rFonts w:ascii="Calibri" w:cs="Calibri" w:eastAsia="Calibri" w:hAnsi="Calibri"/>
                <w:b/>
                <w:bCs/>
                <w:color w:val="FFFFFF"/>
                <w:sz w:val="20"/>
                <w:szCs w:val="20"/>
              </w:rPr>
              <w:t xml:space="preserve">Risk of disruption</w:t>
            </w:r>
          </w:p>
        </w:tc>
      </w:tr>
      <w:tr>
        <w:tc>
          <w:tcPr>
            <w:tcW w:type="dxa" w:w="900"/>
            <w:tcMar>
              <w:top w:type="dxa" w:w="90"/>
              <w:left w:type="dxa" w:w="120"/>
              <w:bottom w:type="dxa" w:w="90"/>
              <w:right w:type="dxa" w:w="120"/>
            </w:tcMar>
          </w:tcPr>
          <w:p>
            <w:pPr>
              <w:spacing w:after="0" w:line="264"/>
            </w:pPr>
            <w:r>
              <w:rPr>
                <w:rFonts w:ascii="Calibri" w:cs="Calibri" w:eastAsia="Calibri" w:hAnsi="Calibri"/>
                <w:sz w:val="20"/>
                <w:szCs w:val="20"/>
              </w:rPr>
              <w:t xml:space="preserve">1</w:t>
            </w:r>
          </w:p>
        </w:tc>
        <w:tc>
          <w:tcPr>
            <w:tcW w:type="dxa" w:w="6180"/>
            <w:tcMar>
              <w:top w:type="dxa" w:w="90"/>
              <w:left w:type="dxa" w:w="120"/>
              <w:bottom w:type="dxa" w:w="90"/>
              <w:right w:type="dxa" w:w="120"/>
            </w:tcMar>
          </w:tcPr>
          <w:p>
            <w:pPr>
              <w:spacing w:after="0" w:line="264"/>
            </w:pPr>
            <w:r>
              <w:rPr>
                <w:rFonts w:ascii="Calibri" w:cs="Calibri" w:eastAsia="Calibri" w:hAnsi="Calibri"/>
                <w:b w:val="false"/>
                <w:bCs w:val="false"/>
                <w:sz w:val="20"/>
                <w:szCs w:val="20"/>
              </w:rPr>
              <w:t xml:space="preserve">Remove the five accounts outside the directory</w:t>
            </w:r>
          </w:p>
        </w:tc>
        <w:tc>
          <w:tcPr>
            <w:tcW w:type="dxa" w:w="3000"/>
            <w:tcMar>
              <w:top w:type="dxa" w:w="90"/>
              <w:left w:type="dxa" w:w="120"/>
              <w:bottom w:type="dxa" w:w="90"/>
              <w:right w:type="dxa" w:w="120"/>
            </w:tcMar>
          </w:tcPr>
          <w:p>
            <w:pPr>
              <w:spacing w:after="0" w:line="264"/>
              <w:jc w:val="center"/>
            </w:pPr>
            <w:r>
              <w:rPr>
                <w:rFonts w:ascii="Calibri" w:cs="Calibri" w:eastAsia="Calibri" w:hAnsi="Calibri"/>
                <w:b w:val="false"/>
                <w:bCs w:val="false"/>
                <w:sz w:val="20"/>
                <w:szCs w:val="20"/>
              </w:rPr>
              <w:t xml:space="preserve">Low</w:t>
            </w:r>
          </w:p>
        </w:tc>
      </w:tr>
      <w:tr>
        <w:tc>
          <w:tcPr>
            <w:tcW w:type="dxa" w:w="900"/>
            <w:shd w:fill="F4F7FA" w:color="auto" w:val="clear"/>
            <w:tcMar>
              <w:top w:type="dxa" w:w="90"/>
              <w:left w:type="dxa" w:w="120"/>
              <w:bottom w:type="dxa" w:w="90"/>
              <w:right w:type="dxa" w:w="120"/>
            </w:tcMar>
          </w:tcPr>
          <w:p>
            <w:pPr>
              <w:spacing w:after="0" w:line="264"/>
            </w:pPr>
            <w:r>
              <w:rPr>
                <w:rFonts w:ascii="Calibri" w:cs="Calibri" w:eastAsia="Calibri" w:hAnsi="Calibri"/>
                <w:sz w:val="20"/>
                <w:szCs w:val="20"/>
              </w:rPr>
              <w:t xml:space="preserve">2</w:t>
            </w:r>
          </w:p>
        </w:tc>
        <w:tc>
          <w:tcPr>
            <w:tcW w:type="dxa" w:w="6180"/>
            <w:shd w:fill="F4F7FA" w:color="auto" w:val="clear"/>
            <w:tcMar>
              <w:top w:type="dxa" w:w="90"/>
              <w:left w:type="dxa" w:w="120"/>
              <w:bottom w:type="dxa" w:w="90"/>
              <w:right w:type="dxa" w:w="120"/>
            </w:tcMar>
          </w:tcPr>
          <w:p>
            <w:pPr>
              <w:spacing w:after="0" w:line="264"/>
            </w:pPr>
            <w:r>
              <w:rPr>
                <w:rFonts w:ascii="Calibri" w:cs="Calibri" w:eastAsia="Calibri" w:hAnsi="Calibri"/>
                <w:b w:val="false"/>
                <w:bCs w:val="false"/>
                <w:sz w:val="20"/>
                <w:szCs w:val="20"/>
              </w:rPr>
              <w:t xml:space="preserve">Move staff access to a directory group</w:t>
            </w:r>
          </w:p>
        </w:tc>
        <w:tc>
          <w:tcPr>
            <w:tcW w:type="dxa" w:w="3000"/>
            <w:shd w:fill="F4F7FA" w:color="auto" w:val="clear"/>
            <w:tcMar>
              <w:top w:type="dxa" w:w="90"/>
              <w:left w:type="dxa" w:w="120"/>
              <w:bottom w:type="dxa" w:w="90"/>
              <w:right w:type="dxa" w:w="120"/>
            </w:tcMar>
          </w:tcPr>
          <w:p>
            <w:pPr>
              <w:spacing w:after="0" w:line="264"/>
              <w:jc w:val="center"/>
            </w:pPr>
            <w:r>
              <w:rPr>
                <w:rFonts w:ascii="Calibri" w:cs="Calibri" w:eastAsia="Calibri" w:hAnsi="Calibri"/>
                <w:b w:val="false"/>
                <w:bCs w:val="false"/>
                <w:sz w:val="20"/>
                <w:szCs w:val="20"/>
              </w:rPr>
              <w:t xml:space="preserve">Low</w:t>
            </w:r>
          </w:p>
        </w:tc>
      </w:tr>
      <w:tr>
        <w:tc>
          <w:tcPr>
            <w:tcW w:type="dxa" w:w="900"/>
            <w:tcMar>
              <w:top w:type="dxa" w:w="90"/>
              <w:left w:type="dxa" w:w="120"/>
              <w:bottom w:type="dxa" w:w="90"/>
              <w:right w:type="dxa" w:w="120"/>
            </w:tcMar>
          </w:tcPr>
          <w:p>
            <w:pPr>
              <w:spacing w:after="0" w:line="264"/>
            </w:pPr>
            <w:r>
              <w:rPr>
                <w:rFonts w:ascii="Calibri" w:cs="Calibri" w:eastAsia="Calibri" w:hAnsi="Calibri"/>
                <w:sz w:val="20"/>
                <w:szCs w:val="20"/>
              </w:rPr>
              <w:t xml:space="preserve">3</w:t>
            </w:r>
          </w:p>
        </w:tc>
        <w:tc>
          <w:tcPr>
            <w:tcW w:type="dxa" w:w="6180"/>
            <w:tcMar>
              <w:top w:type="dxa" w:w="90"/>
              <w:left w:type="dxa" w:w="120"/>
              <w:bottom w:type="dxa" w:w="90"/>
              <w:right w:type="dxa" w:w="120"/>
            </w:tcMar>
          </w:tcPr>
          <w:p>
            <w:pPr>
              <w:spacing w:after="0" w:line="264"/>
            </w:pPr>
            <w:r>
              <w:rPr>
                <w:rFonts w:ascii="Calibri" w:cs="Calibri" w:eastAsia="Calibri" w:hAnsi="Calibri"/>
                <w:b w:val="false"/>
                <w:bCs w:val="false"/>
                <w:sz w:val="20"/>
                <w:szCs w:val="20"/>
              </w:rPr>
              <w:t xml:space="preserve">Reduce application and monitoring accounts</w:t>
            </w:r>
          </w:p>
        </w:tc>
        <w:tc>
          <w:tcPr>
            <w:tcW w:type="dxa" w:w="3000"/>
            <w:tcMar>
              <w:top w:type="dxa" w:w="90"/>
              <w:left w:type="dxa" w:w="120"/>
              <w:bottom w:type="dxa" w:w="90"/>
              <w:right w:type="dxa" w:w="120"/>
            </w:tcMar>
          </w:tcPr>
          <w:p>
            <w:pPr>
              <w:spacing w:after="0" w:line="264"/>
              <w:jc w:val="center"/>
            </w:pPr>
            <w:r>
              <w:rPr>
                <w:rFonts w:ascii="Calibri" w:cs="Calibri" w:eastAsia="Calibri" w:hAnsi="Calibri"/>
                <w:b w:val="false"/>
                <w:bCs w:val="false"/>
                <w:sz w:val="20"/>
                <w:szCs w:val="20"/>
              </w:rPr>
              <w:t xml:space="preserve">Medium — staged, tested in UAT first</w:t>
            </w:r>
          </w:p>
        </w:tc>
      </w:tr>
      <w:tr>
        <w:tc>
          <w:tcPr>
            <w:tcW w:type="dxa" w:w="900"/>
            <w:shd w:fill="F4F7FA" w:color="auto" w:val="clear"/>
            <w:tcMar>
              <w:top w:type="dxa" w:w="90"/>
              <w:left w:type="dxa" w:w="120"/>
              <w:bottom w:type="dxa" w:w="90"/>
              <w:right w:type="dxa" w:w="120"/>
            </w:tcMar>
          </w:tcPr>
          <w:p>
            <w:pPr>
              <w:spacing w:after="0" w:line="264"/>
            </w:pPr>
            <w:r>
              <w:rPr>
                <w:rFonts w:ascii="Calibri" w:cs="Calibri" w:eastAsia="Calibri" w:hAnsi="Calibri"/>
                <w:sz w:val="20"/>
                <w:szCs w:val="20"/>
              </w:rPr>
              <w:t xml:space="preserve">4</w:t>
            </w:r>
          </w:p>
        </w:tc>
        <w:tc>
          <w:tcPr>
            <w:tcW w:type="dxa" w:w="6180"/>
            <w:shd w:fill="F4F7FA" w:color="auto" w:val="clear"/>
            <w:tcMar>
              <w:top w:type="dxa" w:w="90"/>
              <w:left w:type="dxa" w:w="120"/>
              <w:bottom w:type="dxa" w:w="90"/>
              <w:right w:type="dxa" w:w="120"/>
            </w:tcMar>
          </w:tcPr>
          <w:p>
            <w:pPr>
              <w:spacing w:after="0" w:line="264"/>
            </w:pPr>
            <w:r>
              <w:rPr>
                <w:rFonts w:ascii="Calibri" w:cs="Calibri" w:eastAsia="Calibri" w:hAnsi="Calibri"/>
                <w:b w:val="false"/>
                <w:bCs w:val="false"/>
                <w:sz w:val="20"/>
                <w:szCs w:val="20"/>
              </w:rPr>
              <w:t xml:space="preserve">Establish the twice-yearly review</w:t>
            </w:r>
          </w:p>
        </w:tc>
        <w:tc>
          <w:tcPr>
            <w:tcW w:type="dxa" w:w="3000"/>
            <w:shd w:fill="F4F7FA" w:color="auto" w:val="clear"/>
            <w:tcMar>
              <w:top w:type="dxa" w:w="90"/>
              <w:left w:type="dxa" w:w="120"/>
              <w:bottom w:type="dxa" w:w="90"/>
              <w:right w:type="dxa" w:w="120"/>
            </w:tcMar>
          </w:tcPr>
          <w:p>
            <w:pPr>
              <w:spacing w:after="0" w:line="264"/>
              <w:jc w:val="center"/>
            </w:pPr>
            <w:r>
              <w:rPr>
                <w:rFonts w:ascii="Calibri" w:cs="Calibri" w:eastAsia="Calibri" w:hAnsi="Calibri"/>
                <w:b w:val="false"/>
                <w:bCs w:val="false"/>
                <w:sz w:val="20"/>
                <w:szCs w:val="20"/>
              </w:rPr>
              <w:t xml:space="preserve">None</w:t>
            </w:r>
          </w:p>
        </w:tc>
      </w:tr>
    </w:tbl>
    <w:p>
      <w:pPr>
        <w:spacing w:after="140"/>
      </w:pPr>
    </w:p>
    <w:p>
      <w:pPr>
        <w:spacing w:after="140" w:line="276"/>
      </w:pPr>
      <w:r>
        <w:rPr>
          <w:rFonts w:ascii="Calibri" w:cs="Calibri" w:eastAsia="Calibri" w:hAnsi="Calibri"/>
          <w:sz w:val="21"/>
          <w:szCs w:val="21"/>
        </w:rPr>
        <w:t xml:space="preserve">The first two stages are low risk and would remove the most exposed accounts. Stage 3 is the larger piece of work and is where we would want the most care.</w:t>
      </w:r>
    </w:p>
    <w:p>
      <w:pPr>
        <w:spacing w:after="0" w:line="276"/>
      </w:pPr>
      <w:r>
        <w:rPr>
          <w:rFonts w:ascii="Calibri" w:cs="Calibri" w:eastAsia="Calibri" w:hAnsi="Calibri"/>
          <w:i/>
          <w:iCs/>
          <w:color w:val="5C6B7A"/>
          <w:sz w:val="21"/>
          <w:szCs w:val="21"/>
        </w:rPr>
        <w:t xml:space="preserve">This review is produced automatically by the SQL Estate Assessment portal, so progress can be measured on the same report at any point.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2026-09-22T14:26:36.697Z</dcterms:created>
  <dcterms:modified xsi:type="dcterms:W3CDTF">2026-09-22T14:26:36.697Z</dcterms:modified>
</cp:coreProperties>
</file>

<file path=docProps/custom.xml><?xml version="1.0" encoding="utf-8"?>
<Properties xmlns="http://schemas.openxmlformats.org/officeDocument/2006/custom-properties" xmlns:vt="http://schemas.openxmlformats.org/officeDocument/2006/docPropsVTypes"/>
</file>