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880" w:after="120"/>
        <w:jc w:val="center"/>
        <w:rPr/>
      </w:pPr>
      <w:r>
        <w:rPr>
          <w:rFonts w:eastAsia="source serif 4" w:cs="source serif 4" w:ascii="source serif 4" w:hAnsi="source serif 4"/>
          <w:b/>
          <w:color w:val="000000"/>
          <w:sz w:val="52"/>
        </w:rPr>
        <w:t>Infrastructure Cost &amp; Deployment Strategy</w:t>
      </w:r>
    </w:p>
    <w:p>
      <w:pPr>
        <w:pStyle w:val="Normal"/>
        <w:spacing w:lineRule="auto" w:line="360" w:before="120" w:after="2160"/>
        <w:jc w:val="center"/>
        <w:rPr/>
      </w:pPr>
      <w:r>
        <w:rPr>
          <w:rFonts w:eastAsia="source serif 4" w:cs="source serif 4" w:ascii="source serif 4" w:hAnsi="source serif 4"/>
          <w:b/>
          <w:color w:val="333333"/>
          <w:sz w:val="36"/>
        </w:rPr>
        <w:t>SN Polymers Pvt. Ltd.</w:t>
      </w:r>
    </w:p>
    <w:p>
      <w:pPr>
        <w:pStyle w:val="Normal"/>
        <w:spacing w:lineRule="auto" w:line="360" w:before="0" w:after="80"/>
        <w:jc w:val="center"/>
        <w:rPr/>
      </w:pPr>
      <w:r>
        <w:rPr>
          <w:rFonts w:eastAsia="source serif 4" w:cs="source serif 4" w:ascii="source serif 4" w:hAnsi="source serif 4"/>
          <w:color w:val="666666"/>
          <w:sz w:val="22"/>
        </w:rPr>
        <w:t>Prepared by</w:t>
      </w:r>
    </w:p>
    <w:p>
      <w:pPr>
        <w:pStyle w:val="Normal"/>
        <w:spacing w:lineRule="auto" w:line="360" w:before="80" w:after="80"/>
        <w:jc w:val="center"/>
        <w:rPr/>
      </w:pPr>
      <w:r>
        <w:rPr>
          <w:rFonts w:eastAsia="source serif 4" w:cs="source serif 4" w:ascii="source serif 4" w:hAnsi="source serif 4"/>
          <w:b/>
          <w:color w:val="000000"/>
          <w:sz w:val="24"/>
        </w:rPr>
        <w:t>Research &amp; Development Department</w:t>
      </w:r>
    </w:p>
    <w:p>
      <w:pPr>
        <w:pStyle w:val="Normal"/>
        <w:spacing w:lineRule="auto" w:line="360" w:before="80" w:after="80"/>
        <w:jc w:val="center"/>
        <w:rPr/>
      </w:pPr>
      <w:r>
        <w:rPr>
          <w:rFonts w:eastAsia="source serif 4" w:cs="source serif 4" w:ascii="source serif 4" w:hAnsi="source serif 4"/>
          <w:color w:val="555555"/>
          <w:sz w:val="22"/>
        </w:rPr>
        <w:t>Version 1.0</w:t>
      </w:r>
    </w:p>
    <w:p>
      <w:pPr>
        <w:pStyle w:val="Normal"/>
        <w:spacing w:lineRule="auto" w:line="360" w:before="80" w:after="0"/>
        <w:jc w:val="center"/>
        <w:rPr/>
        <w:sectPr>
          <w:type w:val="nextPage"/>
          <w:pgSz w:w="12240" w:h="15840"/>
          <w:pgMar w:left="1365" w:right="1365" w:gutter="0" w:header="0" w:top="1365" w:footer="0" w:bottom="1365"/>
          <w:pgNumType w:fmt="decimal"/>
          <w:formProt w:val="false"/>
          <w:textDirection w:val="lrTb"/>
          <w:docGrid w:type="default" w:linePitch="100" w:charSpace="0"/>
        </w:sectPr>
      </w:pPr>
      <w:r>
        <w:rPr>
          <w:rFonts w:eastAsia="source serif 4" w:cs="source serif 4" w:ascii="source serif 4" w:hAnsi="source serif 4"/>
          <w:color w:val="555555"/>
          <w:sz w:val="22"/>
        </w:rPr>
        <w:t>June 2026</w:t>
      </w:r>
    </w:p>
    <w:p>
      <w:pPr>
        <w:pStyle w:val="Normal"/>
        <w:spacing w:lineRule="auto" w:line="360" w:before="720" w:after="240"/>
        <w:jc w:val="start"/>
        <w:rPr/>
      </w:pPr>
      <w:r>
        <w:rPr>
          <w:rFonts w:eastAsia="source serif 4" w:cs="source serif 4" w:ascii="source serif 4" w:hAnsi="source serif 4"/>
          <w:b/>
          <w:color w:val="000000"/>
          <w:sz w:val="28"/>
        </w:rPr>
        <w:t>Document Control</w:t>
      </w:r>
    </w:p>
    <w:tbl>
      <w:tblPr>
        <w:tblW w:w="9510" w:type="dxa"/>
        <w:jc w:val="start"/>
        <w:tblInd w:w="0" w:type="dxa"/>
        <w:tblLayout w:type="fixed"/>
        <w:tblCellMar>
          <w:top w:w="80" w:type="dxa"/>
          <w:start w:w="120" w:type="dxa"/>
          <w:bottom w:w="80" w:type="dxa"/>
          <w:end w:w="120" w:type="dxa"/>
        </w:tblCellMar>
      </w:tblPr>
      <w:tblGrid>
        <w:gridCol w:w="3000"/>
        <w:gridCol w:w="6510"/>
      </w:tblGrid>
      <w:tr>
        <w:trPr/>
        <w:tc>
          <w:tcPr>
            <w:tcW w:w="3000" w:type="dxa"/>
            <w:tcBorders>
              <w:top w:val="single" w:sz="2" w:space="0" w:color="AAAAAA"/>
              <w:start w:val="single" w:sz="2" w:space="0" w:color="AAAAAA"/>
              <w:bottom w:val="single" w:sz="2" w:space="0" w:color="AAAAAA"/>
              <w:end w:val="single" w:sz="2" w:space="0" w:color="AAAAAA"/>
            </w:tcBorders>
            <w:shd w:color="auto" w:fill="EEEEEE" w:val="clear"/>
          </w:tcPr>
          <w:p>
            <w:pPr>
              <w:pStyle w:val="Normal"/>
              <w:spacing w:lineRule="auto" w:line="360" w:before="0" w:after="0"/>
              <w:rPr/>
            </w:pPr>
            <w:r>
              <w:rPr>
                <w:rFonts w:eastAsia="source sans 3" w:cs="source sans 3" w:ascii="source sans 3" w:hAnsi="source sans 3"/>
                <w:b/>
                <w:color w:val="000000"/>
                <w:sz w:val="19"/>
              </w:rPr>
              <w:t>Item</w:t>
            </w:r>
          </w:p>
        </w:tc>
        <w:tc>
          <w:tcPr>
            <w:tcW w:w="6510" w:type="dxa"/>
            <w:tcBorders>
              <w:top w:val="single" w:sz="2" w:space="0" w:color="AAAAAA"/>
              <w:start w:val="single" w:sz="2" w:space="0" w:color="AAAAAA"/>
              <w:bottom w:val="single" w:sz="2" w:space="0" w:color="AAAAAA"/>
              <w:end w:val="single" w:sz="2" w:space="0" w:color="AAAAAA"/>
            </w:tcBorders>
            <w:shd w:color="auto" w:fill="EEEEEE" w:val="clear"/>
          </w:tcPr>
          <w:p>
            <w:pPr>
              <w:pStyle w:val="Normal"/>
              <w:spacing w:lineRule="auto" w:line="360" w:before="0" w:after="0"/>
              <w:rPr/>
            </w:pPr>
            <w:r>
              <w:rPr>
                <w:rFonts w:eastAsia="source sans 3" w:cs="source sans 3" w:ascii="source sans 3" w:hAnsi="source sans 3"/>
                <w:b/>
                <w:color w:val="000000"/>
                <w:sz w:val="19"/>
              </w:rPr>
              <w:t>Value</w:t>
            </w:r>
          </w:p>
        </w:tc>
      </w:tr>
      <w:tr>
        <w:trPr/>
        <w:tc>
          <w:tcPr>
            <w:tcW w:w="3000" w:type="dxa"/>
            <w:tcBorders>
              <w:top w:val="single" w:sz="2" w:space="0" w:color="AAAAAA"/>
              <w:start w:val="single" w:sz="2" w:space="0" w:color="AAAAAA"/>
              <w:bottom w:val="single" w:sz="2" w:space="0" w:color="AAAAAA"/>
              <w:end w:val="single" w:sz="2" w:space="0" w:color="AAAAAA"/>
            </w:tcBorders>
          </w:tcPr>
          <w:p>
            <w:pPr>
              <w:pStyle w:val="Normal"/>
              <w:spacing w:lineRule="auto" w:line="360" w:before="0" w:after="0"/>
              <w:rPr/>
            </w:pPr>
            <w:r>
              <w:rPr>
                <w:rFonts w:eastAsia="source sans 3" w:cs="source sans 3" w:ascii="source sans 3" w:hAnsi="source sans 3"/>
                <w:color w:val="000000"/>
                <w:sz w:val="19"/>
              </w:rPr>
              <w:t>Version</w:t>
            </w:r>
          </w:p>
        </w:tc>
        <w:tc>
          <w:tcPr>
            <w:tcW w:w="6510" w:type="dxa"/>
            <w:tcBorders>
              <w:top w:val="single" w:sz="2" w:space="0" w:color="AAAAAA"/>
              <w:start w:val="single" w:sz="2" w:space="0" w:color="AAAAAA"/>
              <w:bottom w:val="single" w:sz="2" w:space="0" w:color="AAAAAA"/>
              <w:end w:val="single" w:sz="2" w:space="0" w:color="AAAAAA"/>
            </w:tcBorders>
          </w:tcPr>
          <w:p>
            <w:pPr>
              <w:pStyle w:val="Normal"/>
              <w:spacing w:lineRule="auto" w:line="360" w:before="0" w:after="0"/>
              <w:rPr/>
            </w:pPr>
            <w:r>
              <w:rPr>
                <w:rFonts w:eastAsia="source sans 3" w:cs="source sans 3" w:ascii="source sans 3" w:hAnsi="source sans 3"/>
                <w:color w:val="000000"/>
                <w:sz w:val="19"/>
              </w:rPr>
              <w:t>1.0</w:t>
            </w:r>
          </w:p>
        </w:tc>
      </w:tr>
      <w:tr>
        <w:trPr/>
        <w:tc>
          <w:tcPr>
            <w:tcW w:w="3000" w:type="dxa"/>
            <w:tcBorders>
              <w:top w:val="single" w:sz="2" w:space="0" w:color="AAAAAA"/>
              <w:start w:val="single" w:sz="2" w:space="0" w:color="AAAAAA"/>
              <w:bottom w:val="single" w:sz="2" w:space="0" w:color="AAAAAA"/>
              <w:end w:val="single" w:sz="2" w:space="0" w:color="AAAAAA"/>
            </w:tcBorders>
          </w:tcPr>
          <w:p>
            <w:pPr>
              <w:pStyle w:val="Normal"/>
              <w:spacing w:lineRule="auto" w:line="360" w:before="0" w:after="0"/>
              <w:rPr/>
            </w:pPr>
            <w:r>
              <w:rPr>
                <w:rFonts w:eastAsia="source sans 3" w:cs="source sans 3" w:ascii="source sans 3" w:hAnsi="source sans 3"/>
                <w:color w:val="000000"/>
                <w:sz w:val="19"/>
              </w:rPr>
              <w:t>Prepared By</w:t>
            </w:r>
          </w:p>
        </w:tc>
        <w:tc>
          <w:tcPr>
            <w:tcW w:w="6510" w:type="dxa"/>
            <w:tcBorders>
              <w:top w:val="single" w:sz="2" w:space="0" w:color="AAAAAA"/>
              <w:start w:val="single" w:sz="2" w:space="0" w:color="AAAAAA"/>
              <w:bottom w:val="single" w:sz="2" w:space="0" w:color="AAAAAA"/>
              <w:end w:val="single" w:sz="2" w:space="0" w:color="AAAAAA"/>
            </w:tcBorders>
          </w:tcPr>
          <w:p>
            <w:pPr>
              <w:pStyle w:val="Normal"/>
              <w:spacing w:lineRule="auto" w:line="360" w:before="0" w:after="0"/>
              <w:rPr/>
            </w:pPr>
            <w:r>
              <w:rPr>
                <w:rFonts w:eastAsia="source sans 3" w:cs="source sans 3" w:ascii="source sans 3" w:hAnsi="source sans 3"/>
                <w:color w:val="000000"/>
                <w:sz w:val="19"/>
              </w:rPr>
              <w:t xml:space="preserve">R&amp;D </w:t>
            </w:r>
            <w:r>
              <w:rPr>
                <w:rFonts w:eastAsia="source sans 3" w:cs="source sans 3" w:ascii="source sans 3" w:hAnsi="source sans 3"/>
                <w:color w:val="000000"/>
                <w:sz w:val="19"/>
              </w:rPr>
              <w:t xml:space="preserve">Intern </w:t>
            </w:r>
            <w:r>
              <w:rPr>
                <w:rFonts w:eastAsia="source sans 3" w:cs="source sans 3" w:ascii="source sans 3" w:hAnsi="source sans 3"/>
                <w:color w:val="000000"/>
                <w:sz w:val="19"/>
              </w:rPr>
              <w:t>Team</w:t>
            </w:r>
          </w:p>
        </w:tc>
      </w:tr>
      <w:tr>
        <w:trPr/>
        <w:tc>
          <w:tcPr>
            <w:tcW w:w="3000" w:type="dxa"/>
            <w:tcBorders>
              <w:top w:val="single" w:sz="2" w:space="0" w:color="AAAAAA"/>
              <w:start w:val="single" w:sz="2" w:space="0" w:color="AAAAAA"/>
              <w:bottom w:val="single" w:sz="2" w:space="0" w:color="AAAAAA"/>
              <w:end w:val="single" w:sz="2" w:space="0" w:color="AAAAAA"/>
            </w:tcBorders>
          </w:tcPr>
          <w:p>
            <w:pPr>
              <w:pStyle w:val="Normal"/>
              <w:spacing w:lineRule="auto" w:line="360" w:before="0" w:after="0"/>
              <w:rPr/>
            </w:pPr>
            <w:r>
              <w:rPr>
                <w:rFonts w:eastAsia="source sans 3" w:cs="source sans 3" w:ascii="source sans 3" w:hAnsi="source sans 3"/>
                <w:color w:val="000000"/>
                <w:sz w:val="19"/>
              </w:rPr>
              <w:t>Reviewed By</w:t>
            </w:r>
          </w:p>
        </w:tc>
        <w:tc>
          <w:tcPr>
            <w:tcW w:w="6510" w:type="dxa"/>
            <w:tcBorders>
              <w:top w:val="single" w:sz="2" w:space="0" w:color="AAAAAA"/>
              <w:start w:val="single" w:sz="2" w:space="0" w:color="AAAAAA"/>
              <w:bottom w:val="single" w:sz="2" w:space="0" w:color="AAAAAA"/>
              <w:end w:val="single" w:sz="2" w:space="0" w:color="AAAAAA"/>
            </w:tcBorders>
          </w:tcPr>
          <w:p>
            <w:pPr>
              <w:pStyle w:val="Normal"/>
              <w:spacing w:lineRule="auto" w:line="360" w:before="0" w:after="0"/>
              <w:rPr/>
            </w:pPr>
            <w:r>
              <w:rPr>
                <w:rFonts w:eastAsia="source sans 3" w:cs="source sans 3" w:ascii="source sans 3" w:hAnsi="source sans 3"/>
                <w:color w:val="AAAAAA"/>
                <w:sz w:val="19"/>
              </w:rPr>
              <w:t xml:space="preserve"> </w:t>
            </w:r>
          </w:p>
        </w:tc>
      </w:tr>
      <w:tr>
        <w:trPr/>
        <w:tc>
          <w:tcPr>
            <w:tcW w:w="3000" w:type="dxa"/>
            <w:tcBorders>
              <w:top w:val="single" w:sz="2" w:space="0" w:color="AAAAAA"/>
              <w:start w:val="single" w:sz="2" w:space="0" w:color="AAAAAA"/>
              <w:bottom w:val="single" w:sz="2" w:space="0" w:color="AAAAAA"/>
              <w:end w:val="single" w:sz="2" w:space="0" w:color="AAAAAA"/>
            </w:tcBorders>
          </w:tcPr>
          <w:p>
            <w:pPr>
              <w:pStyle w:val="Normal"/>
              <w:spacing w:lineRule="auto" w:line="360" w:before="0" w:after="0"/>
              <w:rPr/>
            </w:pPr>
            <w:r>
              <w:rPr>
                <w:rFonts w:eastAsia="source sans 3" w:cs="source sans 3" w:ascii="source sans 3" w:hAnsi="source sans 3"/>
                <w:color w:val="000000"/>
                <w:sz w:val="19"/>
              </w:rPr>
              <w:t>Approved By</w:t>
            </w:r>
          </w:p>
        </w:tc>
        <w:tc>
          <w:tcPr>
            <w:tcW w:w="6510" w:type="dxa"/>
            <w:tcBorders>
              <w:top w:val="single" w:sz="2" w:space="0" w:color="AAAAAA"/>
              <w:start w:val="single" w:sz="2" w:space="0" w:color="AAAAAA"/>
              <w:bottom w:val="single" w:sz="2" w:space="0" w:color="AAAAAA"/>
              <w:end w:val="single" w:sz="2" w:space="0" w:color="AAAAAA"/>
            </w:tcBorders>
          </w:tcPr>
          <w:p>
            <w:pPr>
              <w:pStyle w:val="Normal"/>
              <w:spacing w:lineRule="auto" w:line="360" w:before="0" w:after="0"/>
              <w:rPr/>
            </w:pPr>
            <w:r>
              <w:rPr>
                <w:rFonts w:eastAsia="source sans 3" w:cs="source sans 3" w:ascii="source sans 3" w:hAnsi="source sans 3"/>
                <w:color w:val="AAAAAA"/>
                <w:sz w:val="19"/>
              </w:rPr>
              <w:t xml:space="preserve"> </w:t>
            </w:r>
          </w:p>
        </w:tc>
      </w:tr>
      <w:tr>
        <w:trPr/>
        <w:tc>
          <w:tcPr>
            <w:tcW w:w="3000" w:type="dxa"/>
            <w:tcBorders>
              <w:top w:val="single" w:sz="2" w:space="0" w:color="AAAAAA"/>
              <w:start w:val="single" w:sz="2" w:space="0" w:color="AAAAAA"/>
              <w:bottom w:val="single" w:sz="2" w:space="0" w:color="AAAAAA"/>
              <w:end w:val="single" w:sz="2" w:space="0" w:color="AAAAAA"/>
            </w:tcBorders>
          </w:tcPr>
          <w:p>
            <w:pPr>
              <w:pStyle w:val="Normal"/>
              <w:spacing w:lineRule="auto" w:line="360" w:before="0" w:after="0"/>
              <w:rPr/>
            </w:pPr>
            <w:r>
              <w:rPr>
                <w:rFonts w:eastAsia="source sans 3" w:cs="source sans 3" w:ascii="source sans 3" w:hAnsi="source sans 3"/>
                <w:color w:val="000000"/>
                <w:sz w:val="19"/>
              </w:rPr>
              <w:t>Date</w:t>
            </w:r>
          </w:p>
        </w:tc>
        <w:tc>
          <w:tcPr>
            <w:tcW w:w="6510" w:type="dxa"/>
            <w:tcBorders>
              <w:top w:val="single" w:sz="2" w:space="0" w:color="AAAAAA"/>
              <w:start w:val="single" w:sz="2" w:space="0" w:color="AAAAAA"/>
              <w:bottom w:val="single" w:sz="2" w:space="0" w:color="AAAAAA"/>
              <w:end w:val="single" w:sz="2" w:space="0" w:color="AAAAAA"/>
            </w:tcBorders>
          </w:tcPr>
          <w:p>
            <w:pPr>
              <w:pStyle w:val="Normal"/>
              <w:spacing w:lineRule="auto" w:line="360" w:before="0" w:after="0"/>
              <w:rPr/>
            </w:pPr>
            <w:r>
              <w:rPr>
                <w:rFonts w:eastAsia="source sans 3" w:cs="source sans 3" w:ascii="source sans 3" w:hAnsi="source sans 3"/>
                <w:color w:val="AAAAAA"/>
                <w:sz w:val="19"/>
              </w:rPr>
              <w:t xml:space="preserve"> </w:t>
            </w:r>
          </w:p>
        </w:tc>
      </w:tr>
    </w:tbl>
    <w:p>
      <w:pPr>
        <w:sectPr>
          <w:type w:val="nextPage"/>
          <w:pgSz w:w="12240" w:h="15840"/>
          <w:pgMar w:left="1365" w:right="1365" w:gutter="0" w:header="0" w:top="1365" w:footer="0" w:bottom="1365"/>
          <w:pgNumType w:fmt="decimal"/>
          <w:formProt w:val="false"/>
          <w:textDirection w:val="lrTb"/>
          <w:docGrid w:type="default" w:linePitch="100" w:charSpace="0"/>
        </w:sectPr>
      </w:pPr>
    </w:p>
    <w:p>
      <w:pPr>
        <w:pStyle w:val="Normal"/>
        <w:spacing w:lineRule="auto" w:line="271" w:before="158" w:after="158"/>
        <w:jc w:val="start"/>
        <w:rPr/>
      </w:pPr>
      <w:bookmarkStart w:id="0" w:name="infrastructure_cost_report_for_sn_1bce45"/>
      <w:r>
        <w:rPr>
          <w:rFonts w:eastAsia="source serif 4" w:cs="source serif 4" w:ascii="source serif 4" w:hAnsi="source serif 4"/>
          <w:b/>
          <w:color w:val="000000"/>
          <w:sz w:val="39"/>
        </w:rPr>
        <w:t>Infrastructure Cost Report for SN Polymers Pvt. Ltd.</w:t>
      </w:r>
      <w:bookmarkEnd w:id="0"/>
    </w:p>
    <w:p>
      <w:pPr>
        <w:pStyle w:val="Normal"/>
        <w:spacing w:lineRule="auto" w:line="360" w:before="315" w:after="105"/>
        <w:ind w:start="-30"/>
        <w:jc w:val="start"/>
        <w:rPr/>
      </w:pPr>
      <w:bookmarkStart w:id="1" w:name="executive_summary"/>
      <w:r>
        <w:rPr>
          <w:rFonts w:eastAsia="source serif 4" w:cs="source serif 4" w:ascii="source serif 4" w:hAnsi="source serif 4"/>
          <w:b/>
          <w:color w:val="000000"/>
          <w:sz w:val="24"/>
        </w:rPr>
        <w:t>Executive Summary</w:t>
      </w:r>
      <w:bookmarkEnd w:id="1"/>
    </w:p>
    <w:p>
      <w:pPr>
        <w:pStyle w:val="Normal"/>
        <w:spacing w:lineRule="auto" w:line="360" w:before="0" w:after="210"/>
        <w:rPr/>
      </w:pPr>
      <w:r>
        <w:rPr>
          <w:rFonts w:eastAsia="source serif 4" w:cs="source serif 4" w:ascii="source serif 4" w:hAnsi="source serif 4"/>
          <w:color w:val="000000"/>
        </w:rPr>
        <w:t>This report presents a management-level cost and deployment strategy for the proposed internal ERP application at SN Polymers Pvt. Ltd. The recommended approach is to adopt a lean initial cloud deployment, transition to a production-ready configuration when the system goes live, and scale infrastructure investment in alignment with business growth beyond the current 30-user baseline.</w:t>
      </w:r>
    </w:p>
    <w:p>
      <w:pPr>
        <w:pStyle w:val="Normal"/>
        <w:spacing w:lineRule="auto" w:line="360" w:before="0" w:after="210"/>
        <w:rPr/>
      </w:pPr>
      <w:r>
        <w:rPr>
          <w:rFonts w:eastAsia="source serif 4" w:cs="source serif 4" w:ascii="source serif 4" w:hAnsi="source serif 4"/>
          <w:color w:val="000000"/>
        </w:rPr>
        <w:t>The core message for management is straightforward: SN Polymers can begin with a right-sized cloud infrastructure, operate reliably on fully managed services, and expand investment only as business usage warrants. This approach minimises upfront commitment, keeps ongoing operating costs predictable, and preserves full capacity to scale as the organisation grows.</w:t>
      </w:r>
    </w:p>
    <w:p>
      <w:pPr>
        <w:pStyle w:val="Normal"/>
        <w:spacing w:lineRule="auto" w:line="360" w:before="315" w:after="105"/>
        <w:ind w:start="-30"/>
        <w:jc w:val="start"/>
        <w:rPr/>
      </w:pPr>
      <w:bookmarkStart w:id="2" w:name="one_page_financial_snapshot"/>
      <w:r>
        <w:rPr>
          <w:rFonts w:eastAsia="source serif 4" w:cs="source serif 4" w:ascii="source serif 4" w:hAnsi="source serif 4"/>
          <w:b/>
          <w:color w:val="000000"/>
          <w:sz w:val="24"/>
        </w:rPr>
        <w:t>One Page Financial Snapshot</w:t>
      </w:r>
      <w:bookmarkEnd w:id="2"/>
    </w:p>
    <w:tbl>
      <w:tblPr>
        <w:tblStyle w:val="TableGrid"/>
        <w:tblW w:w="9510" w:type="dxa"/>
        <w:jc w:val="center"/>
        <w:tblInd w:w="0" w:type="dxa"/>
        <w:tblLayout w:type="fixed"/>
        <w:tblCellMar>
          <w:top w:w="80" w:type="dxa"/>
          <w:start w:w="160" w:type="dxa"/>
          <w:bottom w:w="80" w:type="dxa"/>
          <w:end w:w="160" w:type="dxa"/>
        </w:tblCellMar>
      </w:tblPr>
      <w:tblGrid>
        <w:gridCol w:w="4755"/>
        <w:gridCol w:w="4755"/>
      </w:tblGrid>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Item</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Cost</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Initial Deployment</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25,000</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Monthly Operating Cost</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700–₹4,500</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Annual Operating Cost</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8,400–₹54,000</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Five-Year Estimate – Optimistic</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2 lakh</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Five-Year Estimate – Expected</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3 lakh</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Five-Year Estimate – Conservative</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4 lakh</w:t>
            </w:r>
          </w:p>
        </w:tc>
      </w:tr>
    </w:tbl>
    <w:p>
      <w:pPr>
        <w:pStyle w:val="Normal"/>
        <w:spacing w:lineRule="auto" w:line="240"/>
        <w:rPr/>
      </w:pPr>
      <w:r>
        <w:rPr/>
      </w:r>
    </w:p>
    <w:p>
      <w:pPr>
        <w:pStyle w:val="Normal"/>
        <w:spacing w:lineRule="auto" w:line="360" w:before="0" w:after="210"/>
        <w:rPr/>
      </w:pPr>
      <w:r>
        <w:rPr>
          <w:rFonts w:eastAsia="source serif 4" w:cs="source serif 4" w:ascii="source serif 4" w:hAnsi="source serif 4"/>
          <w:color w:val="000000"/>
        </w:rPr>
        <w:t>This page is intended as the quickest management summary. It shows the likely spending band from a minimum internal-use setup to a more production-ready setup, without assuming unnecessary enterprise infrastructure at the start.</w:t>
      </w:r>
    </w:p>
    <w:p>
      <w:pPr>
        <w:pStyle w:val="Normal"/>
        <w:spacing w:lineRule="auto" w:line="360" w:before="315" w:after="105"/>
        <w:ind w:start="-30"/>
        <w:jc w:val="start"/>
        <w:rPr/>
      </w:pPr>
      <w:bookmarkStart w:id="3" w:name="cost_options"/>
      <w:r>
        <w:rPr>
          <w:rFonts w:eastAsia="source serif 4" w:cs="source serif 4" w:ascii="source serif 4" w:hAnsi="source serif 4"/>
          <w:b/>
          <w:color w:val="000000"/>
          <w:sz w:val="24"/>
        </w:rPr>
        <w:t>Cost Options</w:t>
      </w:r>
      <w:bookmarkEnd w:id="3"/>
    </w:p>
    <w:p>
      <w:pPr>
        <w:pStyle w:val="Normal"/>
        <w:spacing w:lineRule="auto" w:line="360" w:before="315" w:after="105"/>
        <w:ind w:start="-30"/>
        <w:jc w:val="start"/>
        <w:rPr/>
      </w:pPr>
      <w:bookmarkStart w:id="4" w:name="option_a_current_low_cost_setup"/>
      <w:r>
        <w:rPr>
          <w:rFonts w:eastAsia="source serif 4" w:cs="source serif 4" w:ascii="source serif 4" w:hAnsi="source serif 4"/>
          <w:b/>
          <w:color w:val="000000"/>
          <w:sz w:val="24"/>
        </w:rPr>
        <w:t>Option A – Development / Pilot Environment</w:t>
      </w:r>
      <w:bookmarkEnd w:id="4"/>
    </w:p>
    <w:p>
      <w:pPr>
        <w:pStyle w:val="Normal"/>
        <w:spacing w:lineRule="auto" w:line="360" w:before="0" w:after="210"/>
        <w:rPr/>
      </w:pPr>
      <w:r>
        <w:rPr>
          <w:rFonts w:eastAsia="source serif 4" w:cs="source serif 4" w:ascii="source serif 4" w:hAnsi="source serif 4"/>
          <w:color w:val="000000"/>
        </w:rPr>
        <w:t>This option represents the lowest practical infrastructure investment for internal use, and is well suited to pilot deployments, controlled rollouts, or early internal testing. It assumes Vercel Hobby, Render Starter, Supabase Free, one domain, and free internal messaging channels.</w:t>
      </w:r>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Service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Plan</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Monthly Cost</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Frontend</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Vercel Hobby</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 xml:space="preserve">0 </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Backend</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Render Starter</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600</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Database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Supabase Free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 xml:space="preserve">0 </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Domain</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Standard domain</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80</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Telegram</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Free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0</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Email</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Free SMTP</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0</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erif 4" w:cs="source serif 4" w:ascii="source serif 4" w:hAnsi="source serif 4"/>
                <w:b/>
                <w:color w:val="000000"/>
                <w:kern w:val="0"/>
                <w:sz w:val="17"/>
              </w:rPr>
              <w:t>Total</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240" w:before="0" w:after="0"/>
              <w:jc w:val="start"/>
              <w:rPr>
                <w:kern w:val="0"/>
              </w:rPr>
            </w:pPr>
            <w:r>
              <w:rPr>
                <w:kern w:val="0"/>
              </w:rPr>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erif 4" w:cs="source serif 4" w:ascii="source serif 4" w:hAnsi="source serif 4"/>
                <w:b/>
                <w:color w:val="000000"/>
                <w:kern w:val="0"/>
                <w:sz w:val="17"/>
              </w:rPr>
              <w:t>≈ ₹</w:t>
            </w:r>
            <w:r>
              <w:rPr>
                <w:rFonts w:eastAsia="source serif 4" w:cs="source serif 4" w:ascii="source serif 4" w:hAnsi="source serif 4"/>
                <w:b/>
                <w:color w:val="000000"/>
                <w:kern w:val="0"/>
                <w:sz w:val="17"/>
              </w:rPr>
              <w:t>700/month</w:t>
            </w:r>
          </w:p>
        </w:tc>
      </w:tr>
    </w:tbl>
    <w:p>
      <w:pPr>
        <w:pStyle w:val="Normal"/>
        <w:spacing w:lineRule="auto" w:line="240"/>
        <w:rPr/>
      </w:pPr>
      <w:r>
        <w:rPr/>
      </w:r>
    </w:p>
    <w:p>
      <w:pPr>
        <w:pStyle w:val="Normal"/>
        <w:spacing w:lineRule="auto" w:line="360" w:before="0" w:after="210"/>
        <w:rPr/>
      </w:pPr>
      <w:r>
        <w:rPr>
          <w:rFonts w:eastAsia="source serif 4" w:cs="source serif 4" w:ascii="source serif 4" w:hAnsi="source serif 4"/>
          <w:b/>
          <w:color w:val="000000"/>
        </w:rPr>
        <w:t>Use case:</w:t>
      </w:r>
      <w:r>
        <w:rPr>
          <w:rFonts w:eastAsia="source serif 4" w:cs="source serif 4" w:ascii="source serif 4" w:hAnsi="source serif 4"/>
          <w:color w:val="000000"/>
        </w:rPr>
        <w:t xml:space="preserve"> Internal pilot, controlled employee rollout, or very low-risk early production use. This is the most cost-efficient entry point, but it is not the optimal long-term configuration for a formal production system because the free database tier has limited capacity and fewer recovery features than the Pro tier.</w:t>
      </w:r>
    </w:p>
    <w:p>
      <w:pPr>
        <w:pStyle w:val="Normal"/>
        <w:spacing w:lineRule="auto" w:line="360" w:before="315" w:after="105"/>
        <w:ind w:start="-30"/>
        <w:jc w:val="start"/>
        <w:rPr/>
      </w:pPr>
      <w:bookmarkStart w:id="5" w:name="option_b_production_ready"/>
      <w:r>
        <w:rPr>
          <w:rFonts w:eastAsia="source serif 4" w:cs="source serif 4" w:ascii="source serif 4" w:hAnsi="source serif 4"/>
          <w:b/>
          <w:color w:val="000000"/>
          <w:sz w:val="24"/>
        </w:rPr>
        <w:t>Option B – Recommended Production Environment ⭐</w:t>
      </w:r>
      <w:bookmarkEnd w:id="5"/>
    </w:p>
    <w:p>
      <w:pPr>
        <w:pStyle w:val="Normal"/>
        <w:spacing w:lineRule="auto" w:line="360" w:before="0" w:after="210"/>
        <w:rPr/>
      </w:pPr>
      <w:r>
        <w:rPr>
          <w:rFonts w:eastAsia="source serif 4" w:cs="source serif 4" w:ascii="source serif 4" w:hAnsi="source serif 4"/>
          <w:color w:val="000000"/>
        </w:rPr>
        <w:t>This is the recommended configuration when the ERP goes live for normal internal business use. It upgrades the database to Supabase Pro and the frontend to Vercel Pro while keeping the backend on a low-cost Render plan.</w:t>
      </w:r>
    </w:p>
    <w:tbl>
      <w:tblPr>
        <w:tblStyle w:val="TableGrid"/>
        <w:tblW w:w="9510" w:type="dxa"/>
        <w:jc w:val="center"/>
        <w:tblInd w:w="0" w:type="dxa"/>
        <w:tblLayout w:type="fixed"/>
        <w:tblCellMar>
          <w:top w:w="80" w:type="dxa"/>
          <w:start w:w="160" w:type="dxa"/>
          <w:bottom w:w="80" w:type="dxa"/>
          <w:end w:w="160" w:type="dxa"/>
        </w:tblCellMar>
      </w:tblPr>
      <w:tblGrid>
        <w:gridCol w:w="4755"/>
        <w:gridCol w:w="4755"/>
      </w:tblGrid>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Service</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Monthly Cost</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Vercel Pro</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 xml:space="preserve">1,700 </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Render Starter</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600</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Supabase Pro</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 xml:space="preserve">2,100 </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Domain</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80</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erif 4" w:cs="source serif 4" w:ascii="source serif 4" w:hAnsi="source serif 4"/>
                <w:b/>
                <w:color w:val="000000"/>
                <w:kern w:val="0"/>
                <w:sz w:val="17"/>
              </w:rPr>
              <w:t>Total</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erif 4" w:cs="source serif 4" w:ascii="source serif 4" w:hAnsi="source serif 4"/>
                <w:b/>
                <w:color w:val="000000"/>
                <w:kern w:val="0"/>
                <w:sz w:val="17"/>
              </w:rPr>
              <w:t>≈ ₹</w:t>
            </w:r>
            <w:r>
              <w:rPr>
                <w:rFonts w:eastAsia="source serif 4" w:cs="source serif 4" w:ascii="source serif 4" w:hAnsi="source serif 4"/>
                <w:b/>
                <w:color w:val="000000"/>
                <w:kern w:val="0"/>
                <w:sz w:val="17"/>
              </w:rPr>
              <w:t>4,500/month</w:t>
            </w:r>
          </w:p>
        </w:tc>
      </w:tr>
    </w:tbl>
    <w:p>
      <w:pPr>
        <w:pStyle w:val="Normal"/>
        <w:spacing w:lineRule="auto" w:line="240"/>
        <w:rPr/>
      </w:pPr>
      <w:r>
        <w:rPr/>
      </w:r>
    </w:p>
    <w:p>
      <w:pPr>
        <w:pStyle w:val="Normal"/>
        <w:spacing w:lineRule="auto" w:line="360" w:before="0" w:after="210"/>
        <w:rPr/>
      </w:pPr>
      <w:r>
        <w:rPr>
          <w:rFonts w:eastAsia="source serif 4" w:cs="source serif 4" w:ascii="source serif 4" w:hAnsi="source serif 4"/>
          <w:b/>
          <w:color w:val="000000"/>
        </w:rPr>
        <w:t>Use case:</w:t>
      </w:r>
      <w:r>
        <w:rPr>
          <w:rFonts w:eastAsia="source serif 4" w:cs="source serif 4" w:ascii="source serif 4" w:hAnsi="source serif 4"/>
          <w:color w:val="000000"/>
        </w:rPr>
        <w:t xml:space="preserve"> Recommended if the company is going live and wants a better balance of reliability, production readiness, backups, and business continuity. This is the main recommended option for SN Polymers.</w:t>
      </w:r>
    </w:p>
    <w:p>
      <w:pPr>
        <w:pStyle w:val="Normal"/>
        <w:spacing w:lineRule="auto" w:line="360" w:before="315" w:after="105"/>
        <w:ind w:start="-30"/>
        <w:jc w:val="start"/>
        <w:rPr/>
      </w:pPr>
      <w:bookmarkStart w:id="6" w:name="option_c_enterprise_growth"/>
      <w:r>
        <w:rPr>
          <w:rFonts w:eastAsia="source serif 4" w:cs="source serif 4" w:ascii="source serif 4" w:hAnsi="source serif 4"/>
          <w:b/>
          <w:color w:val="000000"/>
          <w:sz w:val="24"/>
        </w:rPr>
        <w:t>Option C – Future Growth Environment</w:t>
      </w:r>
      <w:bookmarkEnd w:id="6"/>
    </w:p>
    <w:p>
      <w:pPr>
        <w:pStyle w:val="Normal"/>
        <w:spacing w:lineRule="auto" w:line="360" w:before="0" w:after="210"/>
        <w:rPr/>
      </w:pPr>
      <w:r>
        <w:rPr>
          <w:rFonts w:eastAsia="source serif 4" w:cs="source serif 4" w:ascii="source serif 4" w:hAnsi="source serif 4"/>
          <w:color w:val="000000"/>
        </w:rPr>
        <w:t>This option is for future planning when the company expands materially, such as 100+ users, higher document volume, heavier dashboards, more transactions, or stricter reporting and compliance needs. At that stage, infrastructure cost will rise mainly because of larger backend capacity, stronger database resources, and additional support tooling.</w:t>
      </w:r>
    </w:p>
    <w:tbl>
      <w:tblPr>
        <w:tblStyle w:val="TableGrid"/>
        <w:tblW w:w="9510" w:type="dxa"/>
        <w:jc w:val="center"/>
        <w:tblInd w:w="0" w:type="dxa"/>
        <w:tblLayout w:type="fixed"/>
        <w:tblCellMar>
          <w:top w:w="80" w:type="dxa"/>
          <w:start w:w="160" w:type="dxa"/>
          <w:bottom w:w="80" w:type="dxa"/>
          <w:end w:w="160" w:type="dxa"/>
        </w:tblCellMar>
      </w:tblPr>
      <w:tblGrid>
        <w:gridCol w:w="4755"/>
        <w:gridCol w:w="4755"/>
      </w:tblGrid>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Growth Stage</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Estimated Monthly Cost</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Moderate growth</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10,000+</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Strong growth</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20,000+</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Larger enterprise-style setup</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50,000+</w:t>
            </w:r>
          </w:p>
        </w:tc>
      </w:tr>
    </w:tbl>
    <w:p>
      <w:pPr>
        <w:pStyle w:val="Normal"/>
        <w:spacing w:lineRule="auto" w:line="240"/>
        <w:rPr/>
      </w:pPr>
      <w:r>
        <w:rPr/>
      </w:r>
    </w:p>
    <w:p>
      <w:pPr>
        <w:pStyle w:val="Normal"/>
        <w:spacing w:lineRule="auto" w:line="360" w:before="0" w:after="210"/>
        <w:rPr/>
      </w:pPr>
      <w:r>
        <w:rPr>
          <w:rFonts w:eastAsia="source serif 4" w:cs="source serif 4" w:ascii="source serif 4" w:hAnsi="source serif 4"/>
          <w:b/>
          <w:color w:val="000000"/>
        </w:rPr>
        <w:t>Management takeaway:</w:t>
      </w:r>
      <w:r>
        <w:rPr>
          <w:rFonts w:eastAsia="source serif 4" w:cs="source serif 4" w:ascii="source serif 4" w:hAnsi="source serif 4"/>
          <w:color w:val="000000"/>
        </w:rPr>
        <w:t xml:space="preserve"> infrastructure investment begins at the lowest practical level and scales only as business growth requires. This staged approach avoids premature overinvestment.</w:t>
      </w:r>
    </w:p>
    <w:p>
      <w:pPr>
        <w:pStyle w:val="Normal"/>
        <w:spacing w:lineRule="auto" w:line="360" w:before="315" w:after="105"/>
        <w:ind w:start="-30"/>
        <w:jc w:val="start"/>
        <w:rPr/>
      </w:pPr>
      <w:bookmarkStart w:id="7" w:name="capex_vs_opex"/>
      <w:r>
        <w:rPr>
          <w:rFonts w:eastAsia="source serif 4" w:cs="source serif 4" w:ascii="source serif 4" w:hAnsi="source serif 4"/>
          <w:b/>
          <w:color w:val="000000"/>
          <w:sz w:val="24"/>
        </w:rPr>
        <w:t>CAPEX vs OPEX</w:t>
      </w:r>
      <w:bookmarkEnd w:id="7"/>
    </w:p>
    <w:p>
      <w:pPr>
        <w:pStyle w:val="Normal"/>
        <w:spacing w:lineRule="auto" w:line="360" w:before="0" w:after="210"/>
        <w:rPr/>
      </w:pPr>
      <w:r>
        <w:rPr>
          <w:rFonts w:eastAsia="source serif 4" w:cs="source serif 4" w:ascii="source serif 4" w:hAnsi="source serif 4"/>
          <w:color w:val="000000"/>
        </w:rPr>
        <w:t>Non-technical management often prefers the cost structure in capital and operating terms because it fits budgeting discussions more clearly.</w:t>
      </w:r>
    </w:p>
    <w:p>
      <w:pPr>
        <w:pStyle w:val="Normal"/>
        <w:spacing w:lineRule="auto" w:line="360" w:before="315" w:after="105"/>
        <w:ind w:start="-30"/>
        <w:jc w:val="start"/>
        <w:rPr/>
      </w:pPr>
      <w:bookmarkStart w:id="8" w:name="capex_one_time_costs"/>
      <w:r>
        <w:rPr>
          <w:rFonts w:eastAsia="source serif 4" w:cs="source serif 4" w:ascii="source serif 4" w:hAnsi="source serif 4"/>
          <w:b/>
          <w:color w:val="000000"/>
          <w:sz w:val="24"/>
        </w:rPr>
        <w:t>CAPEX — One-Time Costs</w:t>
      </w:r>
      <w:bookmarkEnd w:id="8"/>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CAPEX Item</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Meaning</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Estimated Cost</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Development</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Application build effort</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Excluded from this infrastructure report</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Deployment</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0 (internal effort; external vendor: ₹8,000–₹15,000)</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0 (in-house)</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Initial setup</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0 (internal effort; external vendor: ₹10,000–₹20,000)</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0 (in-house)</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Domain purchase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900–₹1,800 (3-year registration)</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900–₹1,800</w:t>
            </w:r>
          </w:p>
        </w:tc>
      </w:tr>
    </w:tbl>
    <w:p>
      <w:pPr>
        <w:pStyle w:val="Normal"/>
        <w:spacing w:lineRule="auto" w:line="240"/>
        <w:rPr/>
      </w:pPr>
      <w:r>
        <w:rPr/>
      </w:r>
    </w:p>
    <w:p>
      <w:pPr>
        <w:pStyle w:val="Normal"/>
        <w:spacing w:lineRule="auto" w:line="360" w:before="315" w:after="105"/>
        <w:ind w:start="-30"/>
        <w:jc w:val="start"/>
        <w:rPr/>
      </w:pPr>
      <w:bookmarkStart w:id="9" w:name="opex_recurring_costs"/>
      <w:r>
        <w:rPr>
          <w:rFonts w:eastAsia="source serif 4" w:cs="source serif 4" w:ascii="source serif 4" w:hAnsi="source serif 4"/>
          <w:b/>
          <w:color w:val="000000"/>
          <w:sz w:val="24"/>
        </w:rPr>
        <w:t>OPEX — Recurring Costs</w:t>
      </w:r>
      <w:bookmarkEnd w:id="9"/>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OPEX Item</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Meaning</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Estimated Range</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Hosting</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Frontend and backend cloud services</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600–₹2,300/month</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Database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Managed PostgreSQL and storage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 xml:space="preserve">0–₹2,100/month </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Domain</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Annual renewal</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80/month equivalent</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Maintenance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Application support and operational reserve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1,000+/month</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Cloud services</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Backups, storage growth, monitoring, logs</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Variable by usage</w:t>
            </w:r>
          </w:p>
        </w:tc>
      </w:tr>
    </w:tbl>
    <w:p>
      <w:pPr>
        <w:pStyle w:val="Normal"/>
        <w:spacing w:lineRule="auto" w:line="240"/>
        <w:rPr/>
      </w:pPr>
      <w:r>
        <w:rPr/>
      </w:r>
    </w:p>
    <w:p>
      <w:pPr>
        <w:pStyle w:val="Normal"/>
        <w:spacing w:lineRule="auto" w:line="360" w:before="0" w:after="210"/>
        <w:rPr/>
      </w:pPr>
      <w:r>
        <w:rPr>
          <w:rFonts w:eastAsia="source serif 4" w:cs="source serif 4" w:ascii="source serif 4" w:hAnsi="source serif 4"/>
          <w:color w:val="000000"/>
        </w:rPr>
        <w:t>This classification helps management separate one-time launch spending from recurring operational cost, which makes approval and budgeting much easier.</w:t>
      </w:r>
    </w:p>
    <w:p>
      <w:pPr>
        <w:pStyle w:val="Normal"/>
        <w:spacing w:lineRule="auto" w:line="360" w:before="315" w:after="105"/>
        <w:ind w:start="-30"/>
        <w:jc w:val="start"/>
        <w:rPr/>
      </w:pPr>
      <w:bookmarkStart w:id="10" w:name="deployment_cost"/>
      <w:r>
        <w:rPr>
          <w:rFonts w:eastAsia="source serif 4" w:cs="source serif 4" w:ascii="source serif 4" w:hAnsi="source serif 4"/>
          <w:b/>
          <w:color w:val="000000"/>
          <w:sz w:val="24"/>
        </w:rPr>
        <w:t>Deployment Cost</w:t>
      </w:r>
      <w:bookmarkEnd w:id="10"/>
    </w:p>
    <w:p>
      <w:pPr>
        <w:pStyle w:val="Normal"/>
        <w:spacing w:lineRule="auto" w:line="360" w:before="0" w:after="210"/>
        <w:rPr/>
      </w:pPr>
      <w:r>
        <w:rPr>
          <w:rFonts w:eastAsia="source serif 4" w:cs="source serif 4" w:ascii="source serif 4" w:hAnsi="source serif 4"/>
          <w:color w:val="000000"/>
        </w:rPr>
        <w:t>The following costs are one-time costs associated with making the ERP live and usable in a production business environment.</w:t>
      </w:r>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One-Time Item</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Estimated Cost (INR)</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Notes</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Domain purchase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900–₹1,800 (3-year registration)</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Initial registration</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Initial deployment</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0 (internal effort; external vendor: ₹8,000–₹15,000)</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Live setup and publishing</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Configuration</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5,000–₹10,000</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Environment setup and integrations</w:t>
            </w:r>
          </w:p>
        </w:tc>
      </w:tr>
    </w:tbl>
    <w:p>
      <w:pPr>
        <w:pStyle w:val="Normal"/>
        <w:spacing w:lineRule="auto" w:line="240"/>
        <w:rPr/>
      </w:pPr>
      <w:r>
        <w:rPr/>
      </w:r>
    </w:p>
    <w:p>
      <w:pPr>
        <w:pStyle w:val="Normal"/>
        <w:spacing w:lineRule="auto" w:line="360" w:before="0" w:after="210"/>
        <w:rPr/>
      </w:pPr>
      <w:r>
        <w:rPr>
          <w:rFonts w:eastAsia="source serif 4" w:cs="source serif 4" w:ascii="source serif 4" w:hAnsi="source serif 4"/>
          <w:color w:val="000000"/>
        </w:rPr>
        <w:t>For in-house delivery, the only out-of-pocket deployment cost is the domain registration (</w:t>
      </w:r>
      <w:r>
        <w:rPr>
          <w:rFonts w:eastAsia="source serif 4" w:cs="source serif 4" w:ascii="source serif 4" w:hAnsi="source serif 4"/>
          <w:b/>
          <w:color w:val="000000"/>
        </w:rPr>
        <w:t>₹900–₹1,800 over 3 years</w:t>
      </w:r>
      <w:r>
        <w:rPr>
          <w:rFonts w:eastAsia="source serif 4" w:cs="source serif 4" w:ascii="source serif 4" w:hAnsi="source serif 4"/>
          <w:color w:val="000000"/>
        </w:rPr>
        <w:t xml:space="preserve">). If an external vendor is engaged for deployment, configuration, and go-live support, the planning budget is approximately </w:t>
      </w:r>
      <w:r>
        <w:rPr>
          <w:rFonts w:eastAsia="source serif 4" w:cs="source serif 4" w:ascii="source serif 4" w:hAnsi="source serif 4"/>
          <w:b/>
          <w:color w:val="000000"/>
        </w:rPr>
        <w:t>₹25,000</w:t>
      </w:r>
      <w:r>
        <w:rPr>
          <w:rFonts w:eastAsia="source serif 4" w:cs="source serif 4" w:ascii="source serif 4" w:hAnsi="source serif 4"/>
          <w:color w:val="000000"/>
        </w:rPr>
        <w:t xml:space="preserve">, with a broader band of </w:t>
      </w:r>
      <w:r>
        <w:rPr>
          <w:rFonts w:eastAsia="source serif 4" w:cs="source serif 4" w:ascii="source serif 4" w:hAnsi="source serif 4"/>
          <w:b/>
          <w:color w:val="000000"/>
        </w:rPr>
        <w:t>₹22,900 to ₹46,400</w:t>
      </w:r>
      <w:r>
        <w:rPr>
          <w:rFonts w:eastAsia="source serif 4" w:cs="source serif 4" w:ascii="source serif 4" w:hAnsi="source serif 4"/>
          <w:color w:val="000000"/>
        </w:rPr>
        <w:t xml:space="preserve"> depending on scope.</w:t>
      </w:r>
    </w:p>
    <w:p>
      <w:pPr>
        <w:pStyle w:val="Normal"/>
        <w:spacing w:lineRule="auto" w:line="360" w:before="315" w:after="105"/>
        <w:ind w:start="-30"/>
        <w:jc w:val="start"/>
        <w:rPr/>
      </w:pPr>
      <w:bookmarkStart w:id="11" w:name="annual_maintenance_and_applicatio_c8b1c2"/>
      <w:r>
        <w:rPr>
          <w:rFonts w:eastAsia="source serif 4" w:cs="source serif 4" w:ascii="source serif 4" w:hAnsi="source serif 4"/>
          <w:b/>
          <w:color w:val="000000"/>
          <w:sz w:val="24"/>
        </w:rPr>
        <w:t>Annual Maintenance and Application Support</w:t>
      </w:r>
      <w:bookmarkEnd w:id="11"/>
    </w:p>
    <w:p>
      <w:pPr>
        <w:pStyle w:val="Normal"/>
        <w:spacing w:lineRule="auto" w:line="360" w:before="0" w:after="210"/>
        <w:rPr/>
      </w:pPr>
      <w:r>
        <w:rPr>
          <w:rFonts w:eastAsia="source serif 4" w:cs="source serif 4" w:ascii="source serif 4" w:hAnsi="source serif 4"/>
          <w:color w:val="000000"/>
        </w:rPr>
        <w:t xml:space="preserve">The maintenance section is better understood when split into </w:t>
      </w:r>
      <w:r>
        <w:rPr>
          <w:rFonts w:eastAsia="source serif 4" w:cs="source serif 4" w:ascii="source serif 4" w:hAnsi="source serif 4"/>
          <w:b/>
          <w:color w:val="000000"/>
        </w:rPr>
        <w:t>mandatory</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operational</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optional</w:t>
      </w:r>
      <w:r>
        <w:rPr>
          <w:rFonts w:eastAsia="source serif 4" w:cs="source serif 4" w:ascii="source serif 4" w:hAnsi="source serif 4"/>
          <w:color w:val="000000"/>
        </w:rPr>
        <w:t xml:space="preserve"> categories.</w:t>
      </w:r>
    </w:p>
    <w:p>
      <w:pPr>
        <w:pStyle w:val="Normal"/>
        <w:spacing w:lineRule="auto" w:line="360" w:before="315" w:after="105"/>
        <w:ind w:start="-30"/>
        <w:jc w:val="start"/>
        <w:rPr/>
      </w:pPr>
      <w:bookmarkStart w:id="12" w:name="mandatory"/>
      <w:r>
        <w:rPr>
          <w:rFonts w:eastAsia="source serif 4" w:cs="source serif 4" w:ascii="source serif 4" w:hAnsi="source serif 4"/>
          <w:b/>
          <w:color w:val="000000"/>
          <w:sz w:val="24"/>
        </w:rPr>
        <w:t>Mandatory</w:t>
      </w:r>
      <w:bookmarkEnd w:id="12"/>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Item</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Estimated Yearly Cost</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Notes</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Hosting</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7,200–₹27,600</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Depends on whether current or production-ready stack is used.</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Domain</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900–₹1,800 (3-year registration)</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Annual renewal</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Database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0–₹25,200</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Depends on free vs Pro tier.</w:t>
            </w:r>
          </w:p>
        </w:tc>
      </w:tr>
    </w:tbl>
    <w:p>
      <w:pPr>
        <w:pStyle w:val="Normal"/>
        <w:spacing w:lineRule="auto" w:line="240"/>
        <w:rPr/>
      </w:pPr>
      <w:r>
        <w:rPr/>
      </w:r>
    </w:p>
    <w:p>
      <w:pPr>
        <w:pStyle w:val="Normal"/>
        <w:spacing w:lineRule="auto" w:line="360" w:before="315" w:after="105"/>
        <w:ind w:start="-30"/>
        <w:jc w:val="start"/>
        <w:rPr/>
      </w:pPr>
      <w:bookmarkStart w:id="13" w:name="operational"/>
      <w:r>
        <w:rPr>
          <w:rFonts w:eastAsia="source serif 4" w:cs="source serif 4" w:ascii="source serif 4" w:hAnsi="source serif 4"/>
          <w:b/>
          <w:color w:val="000000"/>
          <w:sz w:val="24"/>
        </w:rPr>
        <w:t>Operational</w:t>
      </w:r>
      <w:bookmarkEnd w:id="13"/>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Item</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Estimated Yearly Cost</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Notes</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Annual Application Support</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15,000–₹40,000</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Replaces the term “bug fixes” with a more professional support category.</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Small feature requests</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20,000–₹60,000</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Minor reports, fields, and workflow adjustments</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Security updates</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5,000–₹15,000</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Periodic hardening and patching</w:t>
            </w:r>
          </w:p>
        </w:tc>
      </w:tr>
    </w:tbl>
    <w:p>
      <w:pPr>
        <w:pStyle w:val="Normal"/>
        <w:spacing w:lineRule="auto" w:line="240"/>
        <w:rPr/>
      </w:pPr>
      <w:r>
        <w:rPr/>
      </w:r>
    </w:p>
    <w:p>
      <w:pPr>
        <w:pStyle w:val="Normal"/>
        <w:spacing w:lineRule="auto" w:line="360" w:before="315" w:after="105"/>
        <w:ind w:start="-30"/>
        <w:jc w:val="start"/>
        <w:rPr/>
      </w:pPr>
      <w:bookmarkStart w:id="14" w:name="optional"/>
      <w:r>
        <w:rPr>
          <w:rFonts w:eastAsia="source serif 4" w:cs="source serif 4" w:ascii="source serif 4" w:hAnsi="source serif 4"/>
          <w:b/>
          <w:color w:val="000000"/>
          <w:sz w:val="24"/>
        </w:rPr>
        <w:t>Optional</w:t>
      </w:r>
      <w:bookmarkEnd w:id="14"/>
    </w:p>
    <w:tbl>
      <w:tblPr>
        <w:tblStyle w:val="TableGrid"/>
        <w:tblW w:w="9510" w:type="dxa"/>
        <w:jc w:val="center"/>
        <w:tblInd w:w="0" w:type="dxa"/>
        <w:tblLayout w:type="fixed"/>
        <w:tblCellMar>
          <w:top w:w="80" w:type="dxa"/>
          <w:start w:w="160" w:type="dxa"/>
          <w:bottom w:w="80" w:type="dxa"/>
          <w:end w:w="160" w:type="dxa"/>
        </w:tblCellMar>
      </w:tblPr>
      <w:tblGrid>
        <w:gridCol w:w="3170"/>
        <w:gridCol w:w="3170"/>
        <w:gridCol w:w="3170"/>
      </w:tblGrid>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Item</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Estimated Yearly Cost</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Notes</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SMS services</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Variable</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Only if SMS becomes required</w:t>
            </w:r>
          </w:p>
        </w:tc>
      </w:tr>
      <w:tr>
        <w:trPr>
          <w:cantSplit w:val="true"/>
        </w:trPr>
        <w:tc>
          <w:tcPr>
            <w:tcW w:w="3170"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New modules</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Project-based</w:t>
            </w:r>
          </w:p>
        </w:tc>
        <w:tc>
          <w:tcPr>
            <w:tcW w:w="3170"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Future business expansion work</w:t>
            </w:r>
          </w:p>
        </w:tc>
      </w:tr>
    </w:tbl>
    <w:p>
      <w:pPr>
        <w:pStyle w:val="Normal"/>
        <w:spacing w:lineRule="auto" w:line="240"/>
        <w:rPr/>
      </w:pPr>
      <w:r>
        <w:rPr/>
      </w:r>
    </w:p>
    <w:p>
      <w:pPr>
        <w:pStyle w:val="Normal"/>
        <w:spacing w:lineRule="auto" w:line="360" w:before="0" w:after="210"/>
        <w:rPr/>
      </w:pPr>
      <w:r>
        <w:rPr>
          <w:rFonts w:eastAsia="source serif 4" w:cs="source serif 4" w:ascii="source serif 4" w:hAnsi="source serif 4"/>
          <w:color w:val="000000"/>
        </w:rPr>
        <w:t>This structure makes the annual maintenance section look more professional and helps management distinguish unavoidable running cost from discretionary enhancement spending.</w:t>
      </w:r>
    </w:p>
    <w:p>
      <w:pPr>
        <w:pStyle w:val="Normal"/>
        <w:spacing w:lineRule="auto" w:line="360" w:before="315" w:after="105"/>
        <w:ind w:start="-30"/>
        <w:jc w:val="start"/>
        <w:rPr/>
      </w:pPr>
      <w:bookmarkStart w:id="15" w:name="infrastructure_comparison_table"/>
      <w:r>
        <w:rPr>
          <w:rFonts w:eastAsia="source serif 4" w:cs="source serif 4" w:ascii="source serif 4" w:hAnsi="source serif 4"/>
          <w:b/>
          <w:color w:val="000000"/>
          <w:sz w:val="24"/>
        </w:rPr>
        <w:t>Infrastructure Comparison Table</w:t>
      </w:r>
      <w:bookmarkEnd w:id="15"/>
    </w:p>
    <w:tbl>
      <w:tblPr>
        <w:tblStyle w:val="TableGrid"/>
        <w:tblW w:w="9513" w:type="dxa"/>
        <w:jc w:val="center"/>
        <w:tblInd w:w="0" w:type="dxa"/>
        <w:tblLayout w:type="fixed"/>
        <w:tblCellMar>
          <w:top w:w="80" w:type="dxa"/>
          <w:start w:w="160" w:type="dxa"/>
          <w:bottom w:w="80" w:type="dxa"/>
          <w:end w:w="160" w:type="dxa"/>
        </w:tblCellMar>
      </w:tblPr>
      <w:tblGrid>
        <w:gridCol w:w="2378"/>
        <w:gridCol w:w="2378"/>
        <w:gridCol w:w="2378"/>
        <w:gridCol w:w="2379"/>
      </w:tblGrid>
      <w:tr>
        <w:trPr>
          <w:cantSplit w:val="true"/>
        </w:trPr>
        <w:tc>
          <w:tcPr>
            <w:tcW w:w="2378"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Approach</w:t>
            </w:r>
          </w:p>
        </w:tc>
        <w:tc>
          <w:tcPr>
            <w:tcW w:w="2378"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Initial Cost</w:t>
            </w:r>
          </w:p>
        </w:tc>
        <w:tc>
          <w:tcPr>
            <w:tcW w:w="2378"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Monthly Cost</w:t>
            </w:r>
          </w:p>
        </w:tc>
        <w:tc>
          <w:tcPr>
            <w:tcW w:w="2379"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Recommendation</w:t>
            </w:r>
          </w:p>
        </w:tc>
      </w:tr>
      <w:tr>
        <w:trPr>
          <w:cantSplit w:val="true"/>
        </w:trPr>
        <w:tc>
          <w:tcPr>
            <w:tcW w:w="2378"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Own Server</w:t>
            </w:r>
          </w:p>
        </w:tc>
        <w:tc>
          <w:tcPr>
            <w:tcW w:w="2378"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High</w:t>
            </w:r>
          </w:p>
        </w:tc>
        <w:tc>
          <w:tcPr>
            <w:tcW w:w="2378"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High</w:t>
            </w:r>
          </w:p>
        </w:tc>
        <w:tc>
          <w:tcPr>
            <w:tcW w:w="2379"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 xml:space="preserve">❌ </w:t>
            </w:r>
            <w:r>
              <w:rPr>
                <w:rFonts w:eastAsia="source sans 3" w:cs="source sans 3" w:ascii="source sans 3" w:hAnsi="source sans 3"/>
                <w:color w:val="000000"/>
                <w:kern w:val="0"/>
                <w:sz w:val="17"/>
              </w:rPr>
              <w:t>Not Recommended</w:t>
            </w:r>
          </w:p>
        </w:tc>
      </w:tr>
      <w:tr>
        <w:trPr>
          <w:cantSplit w:val="true"/>
        </w:trPr>
        <w:tc>
          <w:tcPr>
            <w:tcW w:w="2378"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VPS</w:t>
            </w:r>
          </w:p>
        </w:tc>
        <w:tc>
          <w:tcPr>
            <w:tcW w:w="2378"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Medium</w:t>
            </w:r>
          </w:p>
        </w:tc>
        <w:tc>
          <w:tcPr>
            <w:tcW w:w="2378"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Medium</w:t>
            </w:r>
          </w:p>
        </w:tc>
        <w:tc>
          <w:tcPr>
            <w:tcW w:w="2379"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 xml:space="preserve">△ </w:t>
            </w:r>
            <w:r>
              <w:rPr>
                <w:rFonts w:eastAsia="source sans 3" w:cs="source sans 3" w:ascii="source sans 3" w:hAnsi="source sans 3"/>
                <w:color w:val="000000"/>
                <w:kern w:val="0"/>
                <w:sz w:val="17"/>
              </w:rPr>
              <w:t>Acceptable</w:t>
            </w:r>
          </w:p>
        </w:tc>
      </w:tr>
      <w:tr>
        <w:trPr>
          <w:cantSplit w:val="true"/>
        </w:trPr>
        <w:tc>
          <w:tcPr>
            <w:tcW w:w="2378"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Current Cloud Stack</w:t>
            </w:r>
          </w:p>
        </w:tc>
        <w:tc>
          <w:tcPr>
            <w:tcW w:w="2378"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Low</w:t>
            </w:r>
          </w:p>
        </w:tc>
        <w:tc>
          <w:tcPr>
            <w:tcW w:w="2378"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Low</w:t>
            </w:r>
          </w:p>
        </w:tc>
        <w:tc>
          <w:tcPr>
            <w:tcW w:w="2379"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 xml:space="preserve">✅ </w:t>
            </w:r>
            <w:r>
              <w:rPr>
                <w:rFonts w:eastAsia="source sans 3" w:cs="source sans 3" w:ascii="source sans 3" w:hAnsi="source sans 3"/>
                <w:color w:val="000000"/>
                <w:kern w:val="0"/>
                <w:sz w:val="17"/>
              </w:rPr>
              <w:t>Recommended</w:t>
            </w:r>
          </w:p>
        </w:tc>
      </w:tr>
    </w:tbl>
    <w:p>
      <w:pPr>
        <w:pStyle w:val="Normal"/>
        <w:spacing w:lineRule="auto" w:line="240"/>
        <w:rPr/>
      </w:pPr>
      <w:r>
        <w:rPr/>
      </w:r>
    </w:p>
    <w:p>
      <w:pPr>
        <w:pStyle w:val="Normal"/>
        <w:spacing w:lineRule="auto" w:line="360" w:before="0" w:after="210"/>
        <w:rPr/>
      </w:pPr>
      <w:r>
        <w:rPr>
          <w:rFonts w:eastAsia="source serif 4" w:cs="source serif 4" w:ascii="source serif 4" w:hAnsi="source serif 4"/>
          <w:color w:val="000000"/>
        </w:rPr>
        <w:t>The current managed cloud stack is recommended because it gives the best balance of low entry cost, lower technical maintenance burden, and easier scaling for a manufacturing company running an internal ERP.</w:t>
      </w:r>
    </w:p>
    <w:p>
      <w:pPr>
        <w:pStyle w:val="Normal"/>
        <w:spacing w:lineRule="auto" w:line="360" w:before="315" w:after="105"/>
        <w:ind w:start="-30"/>
        <w:jc w:val="start"/>
        <w:rPr/>
      </w:pPr>
      <w:bookmarkStart w:id="16" w:name="decision_matrix"/>
      <w:r>
        <w:rPr>
          <w:rFonts w:eastAsia="source serif 4" w:cs="source serif 4" w:ascii="source serif 4" w:hAnsi="source serif 4"/>
          <w:b/>
          <w:color w:val="000000"/>
          <w:sz w:val="24"/>
        </w:rPr>
        <w:t>Decision Matrix</w:t>
      </w:r>
      <w:bookmarkEnd w:id="16"/>
    </w:p>
    <w:tbl>
      <w:tblPr>
        <w:tblStyle w:val="TableGrid"/>
        <w:tblW w:w="9510" w:type="dxa"/>
        <w:jc w:val="center"/>
        <w:tblInd w:w="0" w:type="dxa"/>
        <w:tblLayout w:type="fixed"/>
        <w:tblCellMar>
          <w:top w:w="80" w:type="dxa"/>
          <w:start w:w="160" w:type="dxa"/>
          <w:bottom w:w="80" w:type="dxa"/>
          <w:end w:w="160" w:type="dxa"/>
        </w:tblCellMar>
      </w:tblPr>
      <w:tblGrid>
        <w:gridCol w:w="1902"/>
        <w:gridCol w:w="1902"/>
        <w:gridCol w:w="1902"/>
        <w:gridCol w:w="1902"/>
        <w:gridCol w:w="1902"/>
      </w:tblGrid>
      <w:tr>
        <w:trPr>
          <w:cantSplit w:val="true"/>
        </w:trPr>
        <w:tc>
          <w:tcPr>
            <w:tcW w:w="1902"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Option</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Cost</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Reliability</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Maintenance Effort</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Recommendation</w:t>
            </w:r>
          </w:p>
        </w:tc>
      </w:tr>
      <w:tr>
        <w:trPr>
          <w:cantSplit w:val="true"/>
        </w:trPr>
        <w:tc>
          <w:tcPr>
            <w:tcW w:w="1902"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Self-host</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High</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Medium</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High</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Not Recommended</w:t>
            </w:r>
          </w:p>
        </w:tc>
      </w:tr>
      <w:tr>
        <w:trPr>
          <w:cantSplit w:val="true"/>
        </w:trPr>
        <w:tc>
          <w:tcPr>
            <w:tcW w:w="1902"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Cloud (Current)</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Low</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High</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Low</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Recommended</w:t>
            </w:r>
          </w:p>
        </w:tc>
      </w:tr>
      <w:tr>
        <w:trPr>
          <w:cantSplit w:val="true"/>
        </w:trPr>
        <w:tc>
          <w:tcPr>
            <w:tcW w:w="1902"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AWS Enterprise</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Very High</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Very High</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Medium</w:t>
            </w:r>
          </w:p>
        </w:tc>
        <w:tc>
          <w:tcPr>
            <w:tcW w:w="1902"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Overkill</w:t>
            </w:r>
          </w:p>
        </w:tc>
      </w:tr>
    </w:tbl>
    <w:p>
      <w:pPr>
        <w:pStyle w:val="Normal"/>
        <w:spacing w:lineRule="auto" w:line="240"/>
        <w:rPr/>
      </w:pPr>
      <w:r>
        <w:rPr/>
      </w:r>
    </w:p>
    <w:p>
      <w:pPr>
        <w:pStyle w:val="Normal"/>
        <w:spacing w:lineRule="auto" w:line="360" w:before="0" w:after="210"/>
        <w:rPr/>
      </w:pPr>
      <w:r>
        <w:rPr>
          <w:rFonts w:eastAsia="source serif 4" w:cs="source serif 4" w:ascii="source serif 4" w:hAnsi="source serif 4"/>
          <w:color w:val="000000"/>
        </w:rPr>
        <w:t>This consultant-style view helps management compare choices quickly. The current cloud approach scores best because it combines low cost, high reliability, and minimal internal support burden for the present scale.</w:t>
      </w:r>
    </w:p>
    <w:p>
      <w:pPr>
        <w:pStyle w:val="Normal"/>
        <w:spacing w:lineRule="auto" w:line="360" w:before="315" w:after="105"/>
        <w:ind w:start="-30"/>
        <w:jc w:val="start"/>
        <w:rPr/>
      </w:pPr>
      <w:bookmarkStart w:id="17" w:name="why_not_aws_or_azure"/>
      <w:r>
        <w:rPr>
          <w:rFonts w:eastAsia="source serif 4" w:cs="source serif 4" w:ascii="source serif 4" w:hAnsi="source serif 4"/>
          <w:b/>
          <w:color w:val="000000"/>
          <w:sz w:val="24"/>
        </w:rPr>
        <w:t>Why Not AWS or Azure?</w:t>
      </w:r>
      <w:bookmarkEnd w:id="17"/>
    </w:p>
    <w:p>
      <w:pPr>
        <w:pStyle w:val="Normal"/>
        <w:spacing w:lineRule="auto" w:line="360" w:before="0" w:after="210"/>
        <w:rPr/>
      </w:pPr>
      <w:r>
        <w:rPr>
          <w:rFonts w:eastAsia="source serif 4" w:cs="source serif 4" w:ascii="source serif 4" w:hAnsi="source serif 4"/>
          <w:color w:val="000000"/>
        </w:rPr>
        <w:t>Large enterprise cloud platforms such as AWS and Azure offer excellent scalability and a wide range of services, but they would introduce unnecessary cost, configuration effort, and operational complexity for a 30-user internal ERP at this stage. The recommended managed cloud stack provides sufficient reliability and business continuity at a significantly lower recurring cost and with far less day-to-day administration.</w:t>
      </w:r>
    </w:p>
    <w:p>
      <w:pPr>
        <w:pStyle w:val="Normal"/>
        <w:spacing w:lineRule="auto" w:line="360" w:before="315" w:after="105"/>
        <w:ind w:start="-30"/>
        <w:jc w:val="start"/>
        <w:rPr/>
      </w:pPr>
      <w:bookmarkStart w:id="18" w:name="vendor_lock_in_note"/>
      <w:r>
        <w:rPr>
          <w:rFonts w:eastAsia="source serif 4" w:cs="source serif 4" w:ascii="source serif 4" w:hAnsi="source serif 4"/>
          <w:b/>
          <w:color w:val="000000"/>
          <w:sz w:val="24"/>
        </w:rPr>
        <w:t>Vendor Lock-In Note</w:t>
      </w:r>
      <w:bookmarkEnd w:id="18"/>
    </w:p>
    <w:p>
      <w:pPr>
        <w:pStyle w:val="Normal"/>
        <w:spacing w:lineRule="auto" w:line="360" w:before="0" w:after="210"/>
        <w:rPr/>
      </w:pPr>
      <w:r>
        <w:rPr>
          <w:rFonts w:eastAsia="source serif 4" w:cs="source serif 4" w:ascii="source serif 4" w:hAnsi="source serif 4"/>
          <w:color w:val="000000"/>
        </w:rPr>
        <w:t xml:space="preserve">Management should also be aware of </w:t>
      </w:r>
      <w:r>
        <w:rPr>
          <w:rFonts w:eastAsia="source serif 4" w:cs="source serif 4" w:ascii="source serif 4" w:hAnsi="source serif 4"/>
          <w:b/>
          <w:color w:val="000000"/>
        </w:rPr>
        <w:t>vendor lock-in</w:t>
      </w:r>
      <w:r>
        <w:rPr>
          <w:rFonts w:eastAsia="source serif 4" w:cs="source serif 4" w:ascii="source serif 4" w:hAnsi="source serif 4"/>
          <w:color w:val="000000"/>
        </w:rPr>
        <w:t xml:space="preserve"> risk, which means some future migration effort may be required if the company later decides to move away from Vercel, Render, or Supabase. In this case, the risk is moderate rather than severe, because the application uses widely understood technologies such as React, Node.js, Express, and PostgreSQL, which are portable to other hosting environments if needed.</w:t>
      </w:r>
    </w:p>
    <w:p>
      <w:pPr>
        <w:pStyle w:val="Normal"/>
        <w:spacing w:lineRule="auto" w:line="360" w:before="315" w:after="105"/>
        <w:ind w:start="-30"/>
        <w:jc w:val="start"/>
        <w:rPr/>
      </w:pPr>
      <w:bookmarkStart w:id="19" w:name="return_on_investment"/>
      <w:r>
        <w:rPr>
          <w:rFonts w:eastAsia="source serif 4" w:cs="source serif 4" w:ascii="source serif 4" w:hAnsi="source serif 4"/>
          <w:b/>
          <w:color w:val="000000"/>
          <w:sz w:val="24"/>
        </w:rPr>
        <w:t>Return on Investment</w:t>
      </w:r>
      <w:bookmarkEnd w:id="19"/>
    </w:p>
    <w:p>
      <w:pPr>
        <w:pStyle w:val="Normal"/>
        <w:spacing w:lineRule="auto" w:line="360" w:before="0" w:after="210"/>
        <w:rPr/>
      </w:pPr>
      <w:r>
        <w:rPr>
          <w:rFonts w:eastAsia="source serif 4" w:cs="source serif 4" w:ascii="source serif 4" w:hAnsi="source serif 4"/>
          <w:color w:val="000000"/>
        </w:rPr>
        <w:t>Management decisions are easier when the software is framed not only as a cost, but also as a business time-saving tool.</w:t>
      </w:r>
    </w:p>
    <w:p>
      <w:pPr>
        <w:pStyle w:val="Normal"/>
        <w:spacing w:lineRule="auto" w:line="360" w:before="315" w:after="105"/>
        <w:ind w:start="-30"/>
        <w:jc w:val="start"/>
        <w:rPr/>
      </w:pPr>
      <w:bookmarkStart w:id="20" w:name="expected_business_benefits"/>
      <w:r>
        <w:rPr>
          <w:rFonts w:eastAsia="source serif 4" w:cs="source serif 4" w:ascii="source serif 4" w:hAnsi="source serif 4"/>
          <w:b/>
          <w:color w:val="000000"/>
          <w:sz w:val="24"/>
        </w:rPr>
        <w:t>Expected Business Benefits</w:t>
      </w:r>
      <w:bookmarkEnd w:id="20"/>
    </w:p>
    <w:p>
      <w:pPr>
        <w:pStyle w:val="Normal"/>
        <w:numPr>
          <w:ilvl w:val="0"/>
          <w:numId w:val="1"/>
        </w:numPr>
        <w:spacing w:lineRule="auto" w:line="360" w:before="105" w:after="105"/>
        <w:rPr/>
      </w:pPr>
      <w:r>
        <w:rPr>
          <w:rFonts w:eastAsia="source serif 4" w:cs="source serif 4" w:ascii="source serif 4" w:hAnsi="source serif 4"/>
          <w:color w:val="000000"/>
          <w:sz w:val="21"/>
        </w:rPr>
        <w:t>Eliminates paper-based approvals.</w:t>
      </w:r>
    </w:p>
    <w:p>
      <w:pPr>
        <w:pStyle w:val="Normal"/>
        <w:numPr>
          <w:ilvl w:val="0"/>
          <w:numId w:val="1"/>
        </w:numPr>
        <w:spacing w:lineRule="auto" w:line="360" w:before="105" w:after="105"/>
        <w:rPr/>
      </w:pPr>
      <w:r>
        <w:rPr>
          <w:rFonts w:eastAsia="source serif 4" w:cs="source serif 4" w:ascii="source serif 4" w:hAnsi="source serif 4"/>
          <w:color w:val="000000"/>
          <w:sz w:val="21"/>
        </w:rPr>
        <w:t>Speeds up report generation.</w:t>
      </w:r>
    </w:p>
    <w:p>
      <w:pPr>
        <w:pStyle w:val="Normal"/>
        <w:numPr>
          <w:ilvl w:val="0"/>
          <w:numId w:val="1"/>
        </w:numPr>
        <w:spacing w:lineRule="auto" w:line="360" w:before="105" w:after="105"/>
        <w:rPr/>
      </w:pPr>
      <w:r>
        <w:rPr>
          <w:rFonts w:eastAsia="source serif 4" w:cs="source serif 4" w:ascii="source serif 4" w:hAnsi="source serif 4"/>
          <w:color w:val="000000"/>
          <w:sz w:val="21"/>
        </w:rPr>
        <w:t>Centralizes document storage.</w:t>
      </w:r>
    </w:p>
    <w:p>
      <w:pPr>
        <w:pStyle w:val="Normal"/>
        <w:numPr>
          <w:ilvl w:val="0"/>
          <w:numId w:val="1"/>
        </w:numPr>
        <w:spacing w:lineRule="auto" w:line="360" w:before="105" w:after="105"/>
        <w:rPr/>
      </w:pPr>
      <w:r>
        <w:rPr>
          <w:rFonts w:eastAsia="source serif 4" w:cs="source serif 4" w:ascii="source serif 4" w:hAnsi="source serif 4"/>
          <w:color w:val="000000"/>
          <w:sz w:val="21"/>
        </w:rPr>
        <w:t>Reduces manual entry errors.</w:t>
      </w:r>
    </w:p>
    <w:p>
      <w:pPr>
        <w:pStyle w:val="Normal"/>
        <w:numPr>
          <w:ilvl w:val="0"/>
          <w:numId w:val="1"/>
        </w:numPr>
        <w:spacing w:lineRule="auto" w:line="360" w:before="105" w:after="105"/>
        <w:rPr/>
      </w:pPr>
      <w:r>
        <w:rPr>
          <w:rFonts w:eastAsia="source serif 4" w:cs="source serif 4" w:ascii="source serif 4" w:hAnsi="source serif 4"/>
          <w:color w:val="000000"/>
          <w:sz w:val="21"/>
        </w:rPr>
        <w:t>Improves real-time project tracking.</w:t>
      </w:r>
    </w:p>
    <w:p>
      <w:pPr>
        <w:pStyle w:val="Normal"/>
        <w:numPr>
          <w:ilvl w:val="0"/>
          <w:numId w:val="1"/>
        </w:numPr>
        <w:spacing w:lineRule="auto" w:line="360" w:before="105" w:after="105"/>
        <w:rPr/>
      </w:pPr>
      <w:r>
        <w:rPr>
          <w:rFonts w:eastAsia="source serif 4" w:cs="source serif 4" w:ascii="source serif 4" w:hAnsi="source serif 4"/>
          <w:color w:val="000000"/>
          <w:sz w:val="21"/>
        </w:rPr>
        <w:t>Makes audits easier.</w:t>
      </w:r>
    </w:p>
    <w:p>
      <w:pPr>
        <w:pStyle w:val="Normal"/>
        <w:numPr>
          <w:ilvl w:val="0"/>
          <w:numId w:val="1"/>
        </w:numPr>
        <w:spacing w:lineRule="auto" w:line="360" w:before="105" w:after="105"/>
        <w:rPr/>
      </w:pPr>
      <w:r>
        <w:rPr>
          <w:rFonts w:eastAsia="source serif 4" w:cs="source serif 4" w:ascii="source serif 4" w:hAnsi="source serif 4"/>
          <w:color w:val="000000"/>
          <w:sz w:val="21"/>
        </w:rPr>
        <w:t>Increases accountability across departments.</w:t>
      </w:r>
    </w:p>
    <w:p>
      <w:pPr>
        <w:pStyle w:val="Normal"/>
        <w:spacing w:lineRule="auto" w:line="360" w:before="315" w:after="105"/>
        <w:ind w:start="-30"/>
        <w:jc w:val="start"/>
        <w:rPr/>
      </w:pPr>
      <w:bookmarkStart w:id="21" w:name="indicative_productivity_impact"/>
      <w:r>
        <w:rPr>
          <w:rFonts w:eastAsia="source serif 4" w:cs="source serif 4" w:ascii="source serif 4" w:hAnsi="source serif 4"/>
          <w:b/>
          <w:color w:val="000000"/>
          <w:sz w:val="24"/>
        </w:rPr>
        <w:t>Indicative Productivity Impact</w:t>
      </w:r>
      <w:bookmarkEnd w:id="21"/>
    </w:p>
    <w:p>
      <w:pPr>
        <w:pStyle w:val="Normal"/>
        <w:spacing w:lineRule="auto" w:line="360" w:before="0" w:after="210"/>
        <w:rPr/>
      </w:pPr>
      <w:r>
        <w:rPr>
          <w:rFonts w:eastAsia="source serif 4" w:cs="source serif 4" w:ascii="source serif 4" w:hAnsi="source serif 4"/>
          <w:color w:val="000000"/>
        </w:rPr>
        <w:t>Even modest daily time savings across employees can create meaningful business value through faster approvals, better reporting, reduced manual work, and fewer process delays.</w:t>
      </w:r>
    </w:p>
    <w:p>
      <w:pPr>
        <w:pStyle w:val="Normal"/>
        <w:spacing w:lineRule="auto" w:line="360" w:before="0" w:after="210"/>
        <w:rPr/>
      </w:pPr>
      <w:r>
        <w:rPr>
          <w:rFonts w:eastAsia="source serif 4" w:cs="source serif 4" w:ascii="source serif 4" w:hAnsi="source serif 4"/>
          <w:color w:val="000000"/>
        </w:rPr>
        <w:t>This means the ERP should be viewed not only as a software cost, but also as a productivity improvement tool that can reduce administrative effort, improve accountability, and support smoother audits and reporting.</w:t>
      </w:r>
    </w:p>
    <w:p>
      <w:pPr>
        <w:pStyle w:val="Normal"/>
        <w:spacing w:lineRule="auto" w:line="360" w:before="315" w:after="105"/>
        <w:ind w:start="-30"/>
        <w:jc w:val="start"/>
        <w:rPr/>
      </w:pPr>
      <w:bookmarkStart w:id="22" w:name="scaling_view"/>
      <w:r>
        <w:rPr>
          <w:rFonts w:eastAsia="source serif 4" w:cs="source serif 4" w:ascii="source serif 4" w:hAnsi="source serif 4"/>
          <w:b/>
          <w:color w:val="000000"/>
          <w:sz w:val="24"/>
        </w:rPr>
        <w:t>Scaling View</w:t>
      </w:r>
      <w:bookmarkEnd w:id="22"/>
    </w:p>
    <w:p>
      <w:pPr>
        <w:pStyle w:val="Normal"/>
        <w:spacing w:lineRule="auto" w:line="360" w:before="0" w:after="210"/>
        <w:rPr/>
      </w:pPr>
      <w:r>
        <w:rPr>
          <w:rFonts w:eastAsia="source serif 4" w:cs="source serif 4" w:ascii="source serif 4" w:hAnsi="source serif 4"/>
          <w:color w:val="000000"/>
        </w:rPr>
        <w:t>The system can scale in phases rather than through a large upfront investment.</w:t>
      </w:r>
    </w:p>
    <w:tbl>
      <w:tblPr>
        <w:tblStyle w:val="TableGrid"/>
        <w:tblW w:w="9510" w:type="dxa"/>
        <w:jc w:val="center"/>
        <w:tblInd w:w="0" w:type="dxa"/>
        <w:tblLayout w:type="fixed"/>
        <w:tblCellMar>
          <w:top w:w="80" w:type="dxa"/>
          <w:start w:w="160" w:type="dxa"/>
          <w:bottom w:w="80" w:type="dxa"/>
          <w:end w:w="160" w:type="dxa"/>
        </w:tblCellMar>
      </w:tblPr>
      <w:tblGrid>
        <w:gridCol w:w="4755"/>
        <w:gridCol w:w="4755"/>
      </w:tblGrid>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User Count</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Estimated Monthly Infrastructure Cost</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30 users</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700–₹4,500</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50 users</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6,500–₹8,000</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100 users</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10,000+</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250 users</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20,000+</w:t>
            </w:r>
          </w:p>
        </w:tc>
      </w:tr>
      <w:tr>
        <w:trPr>
          <w:cantSplit w:val="true"/>
        </w:trPr>
        <w:tc>
          <w:tcPr>
            <w:tcW w:w="4755" w:type="dxa"/>
            <w:tcBorders>
              <w:top w:val="single" w:sz="2" w:space="0" w:color="000000"/>
              <w:start w:val="single" w:sz="2" w:space="0" w:color="000000"/>
              <w:bottom w:val="single" w:sz="2" w:space="0" w:color="000000"/>
              <w:end w:val="single" w:sz="2" w:space="0" w:color="000000"/>
            </w:tcBorders>
          </w:tcPr>
          <w:p>
            <w:pPr>
              <w:pStyle w:val="Normal"/>
              <w:widowControl/>
              <w:suppressAutoHyphens w:val="true"/>
              <w:spacing w:lineRule="auto" w:line="360" w:before="0" w:after="0"/>
              <w:jc w:val="start"/>
              <w:rPr>
                <w:kern w:val="0"/>
              </w:rPr>
            </w:pPr>
            <w:r>
              <w:rPr>
                <w:rFonts w:eastAsia="source sans 3" w:cs="source sans 3" w:ascii="source sans 3" w:hAnsi="source sans 3"/>
                <w:color w:val="000000"/>
                <w:kern w:val="0"/>
                <w:sz w:val="17"/>
              </w:rPr>
              <w:t>500 users</w:t>
            </w:r>
          </w:p>
        </w:tc>
        <w:tc>
          <w:tcPr>
            <w:tcW w:w="4755" w:type="dxa"/>
            <w:tcBorders>
              <w:top w:val="single" w:sz="2" w:space="0" w:color="000000"/>
              <w:bottom w:val="single" w:sz="2" w:space="0" w:color="000000"/>
              <w:end w:val="single" w:sz="2" w:space="0" w:color="000000"/>
            </w:tcBorders>
          </w:tcPr>
          <w:p>
            <w:pPr>
              <w:pStyle w:val="Normal"/>
              <w:widowControl/>
              <w:suppressAutoHyphens w:val="true"/>
              <w:spacing w:lineRule="auto" w:line="360" w:before="0" w:after="0"/>
              <w:jc w:val="end"/>
              <w:rPr>
                <w:kern w:val="0"/>
              </w:rPr>
            </w:pPr>
            <w:r>
              <w:rPr>
                <w:rFonts w:eastAsia="source sans 3" w:cs="source sans 3" w:ascii="source sans 3" w:hAnsi="source sans 3"/>
                <w:color w:val="000000"/>
                <w:kern w:val="0"/>
                <w:sz w:val="17"/>
              </w:rPr>
              <w:t>₹</w:t>
            </w:r>
            <w:r>
              <w:rPr>
                <w:rFonts w:eastAsia="source sans 3" w:cs="source sans 3" w:ascii="source sans 3" w:hAnsi="source sans 3"/>
                <w:color w:val="000000"/>
                <w:kern w:val="0"/>
                <w:sz w:val="17"/>
              </w:rPr>
              <w:t>50,000+</w:t>
            </w:r>
          </w:p>
        </w:tc>
      </w:tr>
    </w:tbl>
    <w:p>
      <w:pPr>
        <w:pStyle w:val="Normal"/>
        <w:spacing w:lineRule="auto" w:line="240"/>
        <w:rPr/>
      </w:pPr>
      <w:r>
        <w:rPr/>
      </w:r>
    </w:p>
    <w:p>
      <w:pPr>
        <w:pStyle w:val="Normal"/>
        <w:spacing w:lineRule="auto" w:line="360" w:before="0" w:after="210"/>
        <w:rPr/>
      </w:pPr>
      <w:r>
        <w:rPr>
          <w:rFonts w:eastAsia="source serif 4" w:cs="source serif 4" w:ascii="source serif 4" w:hAnsi="source serif 4"/>
          <w:color w:val="000000"/>
        </w:rPr>
        <w:t>The first areas likely to need upgrades are the backend, database resources, and storage. This is a healthy cost pattern because the company pays more only when adoption and transaction volume actually increase.</w:t>
      </w:r>
    </w:p>
    <w:p>
      <w:pPr>
        <w:pStyle w:val="Normal"/>
        <w:spacing w:lineRule="auto" w:line="360" w:before="315" w:after="105"/>
        <w:ind w:start="-30"/>
        <w:jc w:val="start"/>
        <w:rPr/>
      </w:pPr>
      <w:bookmarkStart w:id="23" w:name="five_year_estimate"/>
      <w:r>
        <w:rPr>
          <w:rFonts w:eastAsia="source serif 4" w:cs="source serif 4" w:ascii="source serif 4" w:hAnsi="source serif 4"/>
          <w:b/>
          <w:color w:val="000000"/>
          <w:sz w:val="24"/>
        </w:rPr>
        <w:t>Five-Year Estimate</w:t>
      </w:r>
      <w:bookmarkEnd w:id="23"/>
    </w:p>
    <w:p>
      <w:pPr>
        <w:pStyle w:val="Normal"/>
        <w:spacing w:lineRule="auto" w:line="360" w:before="0" w:after="210"/>
        <w:rPr/>
      </w:pPr>
      <w:r>
        <w:rPr>
          <w:rFonts w:eastAsia="source serif 4" w:cs="source serif 4" w:ascii="source serif 4" w:hAnsi="source serif 4"/>
          <w:color w:val="000000"/>
        </w:rPr>
        <w:t xml:space="preserve">A conservative five-year management estimate, depending on how quickly the system matures from low-cost internal use to a more stable production setup, is approximately </w:t>
      </w:r>
      <w:r>
        <w:rPr>
          <w:rFonts w:eastAsia="source serif 4" w:cs="source serif 4" w:ascii="source serif 4" w:hAnsi="source serif 4"/>
          <w:b/>
          <w:color w:val="000000"/>
        </w:rPr>
        <w:t>₹2 lakh to ₹4 lakh</w:t>
      </w:r>
      <w:r>
        <w:rPr>
          <w:rFonts w:eastAsia="source serif 4" w:cs="source serif 4" w:ascii="source serif 4" w:hAnsi="source serif 4"/>
          <w:color w:val="000000"/>
        </w:rPr>
        <w:t>. This range assumes the company starts with a low-cost model, moves to production readiness, and adds limited maintenance and optional support over time.</w:t>
      </w:r>
    </w:p>
    <w:p>
      <w:pPr>
        <w:pStyle w:val="Normal"/>
        <w:spacing w:lineRule="auto" w:line="360" w:before="315" w:after="105"/>
        <w:ind w:start="-30"/>
        <w:jc w:val="start"/>
        <w:rPr/>
      </w:pPr>
      <w:bookmarkStart w:id="24" w:name="assumptions_and_exclusions"/>
      <w:r>
        <w:rPr>
          <w:rFonts w:eastAsia="source serif 4" w:cs="source serif 4" w:ascii="source serif 4" w:hAnsi="source serif 4"/>
          <w:b/>
          <w:color w:val="000000"/>
          <w:sz w:val="24"/>
        </w:rPr>
        <w:t>Assumptions and Exclusions</w:t>
      </w:r>
      <w:bookmarkEnd w:id="24"/>
    </w:p>
    <w:p>
      <w:pPr>
        <w:pStyle w:val="Normal"/>
        <w:spacing w:lineRule="auto" w:line="360" w:before="0" w:after="210"/>
        <w:rPr/>
      </w:pPr>
      <w:r>
        <w:rPr>
          <w:rFonts w:eastAsia="source serif 4" w:cs="source serif 4" w:ascii="source serif 4" w:hAnsi="source serif 4"/>
          <w:color w:val="000000"/>
        </w:rPr>
        <w:t>To avoid misunderstandings later, the report should clearly separate what is included in this estimate and what is not.</w:t>
      </w:r>
    </w:p>
    <w:p>
      <w:pPr>
        <w:pStyle w:val="Normal"/>
        <w:spacing w:lineRule="auto" w:line="360" w:before="0" w:after="210"/>
        <w:rPr/>
      </w:pPr>
      <w:r>
        <w:rPr>
          <w:rFonts w:eastAsia="source serif 4" w:cs="source serif 4" w:ascii="source serif 4" w:hAnsi="source serif 4"/>
          <w:i/>
          <w:color w:val="595959"/>
        </w:rPr>
        <w:t>All costs are planning estimates based on publicly available cloud pricing as of June 2026 and may vary due to exchange rates, taxes, or future pricing changes.</w:t>
      </w:r>
    </w:p>
    <w:p>
      <w:pPr>
        <w:pStyle w:val="Normal"/>
        <w:spacing w:lineRule="auto" w:line="360" w:before="315" w:after="105"/>
        <w:ind w:start="-30"/>
        <w:jc w:val="start"/>
        <w:rPr/>
      </w:pPr>
      <w:bookmarkStart w:id="25" w:name="included"/>
      <w:r>
        <w:rPr>
          <w:rFonts w:eastAsia="source serif 4" w:cs="source serif 4" w:ascii="source serif 4" w:hAnsi="source serif 4"/>
          <w:b/>
          <w:color w:val="000000"/>
          <w:sz w:val="24"/>
        </w:rPr>
        <w:t>Included</w:t>
      </w:r>
      <w:bookmarkEnd w:id="25"/>
    </w:p>
    <w:p>
      <w:pPr>
        <w:pStyle w:val="Normal"/>
        <w:numPr>
          <w:ilvl w:val="0"/>
          <w:numId w:val="2"/>
        </w:numPr>
        <w:spacing w:lineRule="auto" w:line="360" w:before="105" w:after="105"/>
        <w:rPr/>
      </w:pPr>
      <w:r>
        <w:rPr>
          <w:rFonts w:eastAsia="source serif 4" w:cs="source serif 4" w:ascii="source serif 4" w:hAnsi="source serif 4"/>
          <w:color w:val="000000"/>
          <w:sz w:val="21"/>
        </w:rPr>
        <w:t>Hosting</w:t>
      </w:r>
    </w:p>
    <w:p>
      <w:pPr>
        <w:pStyle w:val="Normal"/>
        <w:numPr>
          <w:ilvl w:val="0"/>
          <w:numId w:val="2"/>
        </w:numPr>
        <w:spacing w:lineRule="auto" w:line="360" w:before="105" w:after="105"/>
        <w:rPr/>
      </w:pPr>
      <w:r>
        <w:rPr>
          <w:rFonts w:eastAsia="source serif 4" w:cs="source serif 4" w:ascii="source serif 4" w:hAnsi="source serif 4"/>
          <w:color w:val="000000"/>
          <w:sz w:val="21"/>
        </w:rPr>
        <w:t>Database</w:t>
      </w:r>
    </w:p>
    <w:p>
      <w:pPr>
        <w:pStyle w:val="Normal"/>
        <w:numPr>
          <w:ilvl w:val="0"/>
          <w:numId w:val="2"/>
        </w:numPr>
        <w:spacing w:lineRule="auto" w:line="360" w:before="105" w:after="105"/>
        <w:rPr/>
      </w:pPr>
      <w:r>
        <w:rPr>
          <w:rFonts w:eastAsia="source serif 4" w:cs="source serif 4" w:ascii="source serif 4" w:hAnsi="source serif 4"/>
          <w:color w:val="000000"/>
          <w:sz w:val="21"/>
        </w:rPr>
        <w:t>Domain</w:t>
      </w:r>
    </w:p>
    <w:p>
      <w:pPr>
        <w:pStyle w:val="Normal"/>
        <w:numPr>
          <w:ilvl w:val="0"/>
          <w:numId w:val="2"/>
        </w:numPr>
        <w:spacing w:lineRule="auto" w:line="360" w:before="105" w:after="105"/>
        <w:rPr/>
      </w:pPr>
      <w:r>
        <w:rPr>
          <w:rFonts w:eastAsia="source serif 4" w:cs="source serif 4" w:ascii="source serif 4" w:hAnsi="source serif 4"/>
          <w:color w:val="000000"/>
          <w:sz w:val="21"/>
        </w:rPr>
        <w:t>SSL</w:t>
      </w:r>
    </w:p>
    <w:p>
      <w:pPr>
        <w:pStyle w:val="Normal"/>
        <w:numPr>
          <w:ilvl w:val="0"/>
          <w:numId w:val="2"/>
        </w:numPr>
        <w:spacing w:lineRule="auto" w:line="360" w:before="105" w:after="105"/>
        <w:rPr/>
      </w:pPr>
      <w:r>
        <w:rPr>
          <w:rFonts w:eastAsia="source serif 4" w:cs="source serif 4" w:ascii="source serif 4" w:hAnsi="source serif 4"/>
          <w:color w:val="000000"/>
          <w:sz w:val="21"/>
        </w:rPr>
        <w:t>Storage</w:t>
      </w:r>
    </w:p>
    <w:p>
      <w:pPr>
        <w:pStyle w:val="Normal"/>
        <w:numPr>
          <w:ilvl w:val="0"/>
          <w:numId w:val="2"/>
        </w:numPr>
        <w:spacing w:lineRule="auto" w:line="360" w:before="105" w:after="105"/>
        <w:rPr/>
      </w:pPr>
      <w:r>
        <w:rPr>
          <w:rFonts w:eastAsia="source serif 4" w:cs="source serif 4" w:ascii="source serif 4" w:hAnsi="source serif 4"/>
          <w:color w:val="000000"/>
          <w:sz w:val="21"/>
        </w:rPr>
        <w:t>Email</w:t>
      </w:r>
    </w:p>
    <w:p>
      <w:pPr>
        <w:pStyle w:val="Normal"/>
        <w:numPr>
          <w:ilvl w:val="0"/>
          <w:numId w:val="2"/>
        </w:numPr>
        <w:spacing w:lineRule="auto" w:line="360" w:before="105" w:after="105"/>
        <w:rPr/>
      </w:pPr>
      <w:r>
        <w:rPr>
          <w:rFonts w:eastAsia="source serif 4" w:cs="source serif 4" w:ascii="source serif 4" w:hAnsi="source serif 4"/>
          <w:color w:val="000000"/>
          <w:sz w:val="21"/>
        </w:rPr>
        <w:t>Telegram notifications</w:t>
      </w:r>
    </w:p>
    <w:p>
      <w:pPr>
        <w:pStyle w:val="Normal"/>
        <w:numPr>
          <w:ilvl w:val="0"/>
          <w:numId w:val="2"/>
        </w:numPr>
        <w:spacing w:lineRule="auto" w:line="360" w:before="105" w:after="105"/>
        <w:rPr/>
      </w:pPr>
      <w:r>
        <w:rPr>
          <w:rFonts w:eastAsia="source serif 4" w:cs="source serif 4" w:ascii="source serif 4" w:hAnsi="source serif 4"/>
          <w:color w:val="000000"/>
          <w:sz w:val="21"/>
        </w:rPr>
        <w:t>Basic backups</w:t>
      </w:r>
    </w:p>
    <w:p>
      <w:pPr>
        <w:pStyle w:val="Normal"/>
        <w:spacing w:lineRule="auto" w:line="360" w:before="315" w:after="105"/>
        <w:ind w:start="-30"/>
        <w:jc w:val="start"/>
        <w:rPr/>
      </w:pPr>
      <w:bookmarkStart w:id="26" w:name="excluded"/>
      <w:r>
        <w:rPr>
          <w:rFonts w:eastAsia="source serif 4" w:cs="source serif 4" w:ascii="source serif 4" w:hAnsi="source serif 4"/>
          <w:b/>
          <w:color w:val="000000"/>
          <w:sz w:val="24"/>
        </w:rPr>
        <w:t>Excluded</w:t>
      </w:r>
      <w:bookmarkEnd w:id="26"/>
    </w:p>
    <w:p>
      <w:pPr>
        <w:pStyle w:val="Normal"/>
        <w:numPr>
          <w:ilvl w:val="0"/>
          <w:numId w:val="3"/>
        </w:numPr>
        <w:spacing w:lineRule="auto" w:line="360" w:before="105" w:after="105"/>
        <w:rPr/>
      </w:pPr>
      <w:r>
        <w:rPr>
          <w:rFonts w:eastAsia="source serif 4" w:cs="source serif 4" w:ascii="source serif 4" w:hAnsi="source serif 4"/>
          <w:color w:val="000000"/>
          <w:sz w:val="21"/>
        </w:rPr>
        <w:t>Development manpower</w:t>
      </w:r>
    </w:p>
    <w:p>
      <w:pPr>
        <w:pStyle w:val="Normal"/>
        <w:numPr>
          <w:ilvl w:val="0"/>
          <w:numId w:val="3"/>
        </w:numPr>
        <w:spacing w:lineRule="auto" w:line="360" w:before="105" w:after="105"/>
        <w:rPr/>
      </w:pPr>
      <w:r>
        <w:rPr>
          <w:rFonts w:eastAsia="source serif 4" w:cs="source serif 4" w:ascii="source serif 4" w:hAnsi="source serif 4"/>
          <w:color w:val="000000"/>
          <w:sz w:val="21"/>
        </w:rPr>
        <w:t>Future feature development</w:t>
      </w:r>
    </w:p>
    <w:p>
      <w:pPr>
        <w:pStyle w:val="Normal"/>
        <w:numPr>
          <w:ilvl w:val="0"/>
          <w:numId w:val="3"/>
        </w:numPr>
        <w:spacing w:lineRule="auto" w:line="360" w:before="105" w:after="105"/>
        <w:rPr/>
      </w:pPr>
      <w:r>
        <w:rPr>
          <w:rFonts w:eastAsia="source serif 4" w:cs="source serif 4" w:ascii="source serif 4" w:hAnsi="source serif 4"/>
          <w:color w:val="000000"/>
          <w:sz w:val="21"/>
        </w:rPr>
        <w:t>Third-party integrations</w:t>
      </w:r>
    </w:p>
    <w:p>
      <w:pPr>
        <w:pStyle w:val="Normal"/>
        <w:numPr>
          <w:ilvl w:val="0"/>
          <w:numId w:val="3"/>
        </w:numPr>
        <w:spacing w:lineRule="auto" w:line="360" w:before="105" w:after="105"/>
        <w:rPr/>
      </w:pPr>
      <w:r>
        <w:rPr>
          <w:rFonts w:eastAsia="source serif 4" w:cs="source serif 4" w:ascii="source serif 4" w:hAnsi="source serif 4"/>
          <w:color w:val="000000"/>
          <w:sz w:val="21"/>
        </w:rPr>
        <w:t>Premium monitoring tools</w:t>
      </w:r>
    </w:p>
    <w:p>
      <w:pPr>
        <w:pStyle w:val="Normal"/>
        <w:numPr>
          <w:ilvl w:val="0"/>
          <w:numId w:val="3"/>
        </w:numPr>
        <w:spacing w:lineRule="auto" w:line="360" w:before="105" w:after="105"/>
        <w:rPr/>
      </w:pPr>
      <w:r>
        <w:rPr>
          <w:rFonts w:eastAsia="source serif 4" w:cs="source serif 4" w:ascii="source serif 4" w:hAnsi="source serif 4"/>
          <w:color w:val="000000"/>
          <w:sz w:val="21"/>
        </w:rPr>
        <w:t>WhatsApp Business API, unless explicitly approved</w:t>
      </w:r>
    </w:p>
    <w:p>
      <w:pPr>
        <w:pStyle w:val="Normal"/>
        <w:numPr>
          <w:ilvl w:val="0"/>
          <w:numId w:val="3"/>
        </w:numPr>
        <w:spacing w:lineRule="auto" w:line="360" w:before="105" w:after="105"/>
        <w:rPr/>
      </w:pPr>
      <w:r>
        <w:rPr>
          <w:rFonts w:eastAsia="source serif 4" w:cs="source serif 4" w:ascii="source serif 4" w:hAnsi="source serif 4"/>
          <w:color w:val="000000"/>
          <w:sz w:val="21"/>
        </w:rPr>
        <w:t>Disaster recovery infrastructure</w:t>
      </w:r>
    </w:p>
    <w:p>
      <w:pPr>
        <w:pStyle w:val="Normal"/>
        <w:spacing w:lineRule="auto" w:line="360" w:before="0" w:after="210"/>
        <w:rPr/>
      </w:pPr>
      <w:r>
        <w:rPr>
          <w:rFonts w:eastAsia="source serif 4" w:cs="source serif 4" w:ascii="source serif 4" w:hAnsi="source serif 4"/>
          <w:color w:val="000000"/>
        </w:rPr>
        <w:t>These boundaries are important because they prevent management from confusing infrastructure cost with full software project cost.</w:t>
      </w:r>
    </w:p>
    <w:p>
      <w:pPr>
        <w:pStyle w:val="Normal"/>
        <w:spacing w:lineRule="auto" w:line="360" w:before="315" w:after="105"/>
        <w:ind w:start="-30"/>
        <w:jc w:val="start"/>
        <w:rPr/>
      </w:pPr>
      <w:r>
        <w:rPr>
          <w:rFonts w:eastAsia="source serif 4" w:cs="source serif 4" w:ascii="source serif 4" w:hAnsi="source serif 4"/>
          <w:b/>
          <w:color w:val="000000"/>
          <w:sz w:val="24"/>
        </w:rPr>
        <w:t>Security Baseline</w:t>
      </w:r>
    </w:p>
    <w:p>
      <w:pPr>
        <w:pStyle w:val="Normal"/>
        <w:spacing w:lineRule="auto" w:line="360" w:before="0" w:after="210"/>
        <w:rPr/>
      </w:pPr>
      <w:r>
        <w:rPr>
          <w:rFonts w:eastAsia="source serif 4" w:cs="source serif 4" w:ascii="source serif 4" w:hAnsi="source serif 4"/>
          <w:color w:val="000000"/>
        </w:rPr>
        <w:t>The proposed cloud providers include managed SSL encryption, secure data transmission, role-based access controls implemented by the application, and managed database services, providing an appropriate security baseline for an internal ERP deployment.</w:t>
      </w:r>
    </w:p>
    <w:p>
      <w:pPr>
        <w:pStyle w:val="Normal"/>
        <w:spacing w:lineRule="auto" w:line="360" w:before="315" w:after="105"/>
        <w:ind w:start="-30"/>
        <w:jc w:val="start"/>
        <w:rPr/>
      </w:pPr>
      <w:bookmarkStart w:id="27" w:name="final_recommendation"/>
      <w:r>
        <w:rPr>
          <w:rFonts w:eastAsia="source serif 4" w:cs="source serif 4" w:ascii="source serif 4" w:hAnsi="source serif 4"/>
          <w:b/>
          <w:color w:val="000000"/>
          <w:sz w:val="24"/>
        </w:rPr>
        <w:t>Final Recommendation</w:t>
      </w:r>
      <w:bookmarkEnd w:id="27"/>
    </w:p>
    <w:p>
      <w:pPr>
        <w:pStyle w:val="Normal"/>
        <w:spacing w:lineRule="auto" w:line="360" w:before="0" w:after="210"/>
        <w:rPr/>
      </w:pPr>
      <w:r>
        <w:rPr>
          <w:rFonts w:eastAsia="source serif 4" w:cs="source serif 4" w:ascii="source serif 4" w:hAnsi="source serif 4"/>
          <w:color w:val="000000"/>
        </w:rPr>
        <w:t>SN Polymers should adopt a phased cloud approach. Start with the low-cost internal setup if the objective is a controlled rollout, then move to the production-ready configuration when the ERP becomes part of routine business operations.</w:t>
      </w:r>
    </w:p>
    <w:p>
      <w:pPr>
        <w:pStyle w:val="Normal"/>
        <w:spacing w:lineRule="auto" w:line="360" w:before="0" w:after="210"/>
        <w:rPr/>
      </w:pPr>
      <w:r>
        <w:rPr>
          <w:rFonts w:eastAsia="source serif 4" w:cs="source serif 4" w:ascii="source serif 4" w:hAnsi="source serif 4"/>
          <w:color w:val="000000"/>
        </w:rPr>
        <w:t>The most practical recommendation for management is:</w:t>
      </w:r>
    </w:p>
    <w:p>
      <w:pPr>
        <w:pStyle w:val="Normal"/>
        <w:numPr>
          <w:ilvl w:val="0"/>
          <w:numId w:val="4"/>
        </w:numPr>
        <w:spacing w:lineRule="auto" w:line="360" w:before="105" w:after="105"/>
        <w:rPr/>
      </w:pPr>
      <w:r>
        <w:rPr>
          <w:rFonts w:eastAsia="source serif 4" w:cs="source serif 4" w:ascii="source serif 4" w:hAnsi="source serif 4"/>
          <w:color w:val="000000"/>
          <w:sz w:val="21"/>
        </w:rPr>
        <w:t>Begin with the lowest practical infrastructure investment.</w:t>
      </w:r>
    </w:p>
    <w:p>
      <w:pPr>
        <w:pStyle w:val="Normal"/>
        <w:numPr>
          <w:ilvl w:val="0"/>
          <w:numId w:val="4"/>
        </w:numPr>
        <w:spacing w:lineRule="auto" w:line="360" w:before="105" w:after="105"/>
        <w:rPr/>
      </w:pPr>
      <w:r>
        <w:rPr>
          <w:rFonts w:eastAsia="source serif 4" w:cs="source serif 4" w:ascii="source serif 4" w:hAnsi="source serif 4"/>
          <w:color w:val="000000"/>
          <w:sz w:val="21"/>
        </w:rPr>
        <w:t>Go production-ready when usage stabilizes.</w:t>
      </w:r>
    </w:p>
    <w:p>
      <w:pPr>
        <w:pStyle w:val="Normal"/>
        <w:numPr>
          <w:ilvl w:val="0"/>
          <w:numId w:val="4"/>
        </w:numPr>
        <w:spacing w:lineRule="auto" w:line="360" w:before="105" w:after="105"/>
        <w:rPr/>
      </w:pPr>
      <w:r>
        <w:rPr>
          <w:rFonts w:eastAsia="source serif 4" w:cs="source serif 4" w:ascii="source serif 4" w:hAnsi="source serif 4"/>
          <w:color w:val="000000"/>
          <w:sz w:val="21"/>
        </w:rPr>
        <w:t>Scale infrastructure investment in line with business growth.</w:t>
      </w:r>
    </w:p>
    <w:p>
      <w:pPr>
        <w:pStyle w:val="Normal"/>
        <w:spacing w:lineRule="auto" w:line="360" w:before="0" w:after="210"/>
        <w:rPr/>
      </w:pPr>
      <w:r>
        <w:rPr>
          <w:rFonts w:eastAsia="source serif 4" w:cs="source serif 4" w:ascii="source serif 4" w:hAnsi="source serif 4"/>
          <w:color w:val="000000"/>
        </w:rPr>
        <w:t>This approach is sufficient for the current scale, scalable for future growth, secure enough for a normal internal business system, and much more cost-effective than buying dedicated servers now.</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ource serif 4">
    <w:charset w:val="01" w:characterSet="utf-8"/>
    <w:family w:val="roman"/>
    <w:pitch w:val="variable"/>
  </w:font>
  <w:font w:name="source sans 3">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900"/>
        </w:tabs>
        <w:ind w:start="5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900"/>
        </w:tabs>
        <w:ind w:start="54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Arial" w:cs="DejaVu Sans" w:cstheme="minorBidi" w:eastAsiaTheme="minorHAnsi" w:hAnsiTheme="minorHAnsi"/>
        <w:sz w:val="21"/>
        <w:szCs w:val="22"/>
        <w:lang w:val="en-US" w:eastAsia="en-US" w:bidi="ar-SA"/>
      </w:rPr>
    </w:rPrDefault>
    <w:pPrDefault>
      <w:pPr>
        <w:suppressAutoHyphens w:val="true"/>
      </w:pPr>
    </w:pPrDefault>
  </w:docDefaults>
  <w:style w:type="paragraph" w:styleId="Normal" w:default="1">
    <w:name w:val="Normal"/>
    <w:qFormat/>
    <w:pPr>
      <w:widowControl/>
      <w:suppressAutoHyphens w:val="true"/>
      <w:bidi w:val="0"/>
      <w:spacing w:lineRule="atLeast" w:line="240" w:before="0" w:after="120"/>
      <w:jc w:val="start"/>
    </w:pPr>
    <w:rPr>
      <w:rFonts w:ascii="Georgia" w:hAnsi="Georgia" w:eastAsia="Arial" w:cs="DejaVu Sans" w:cstheme="minorBidi" w:eastAsiaTheme="minorHAnsi" w:hAnsiTheme="minorHAnsi"/>
      <w:color w:val="auto"/>
      <w:kern w:val="0"/>
      <w:sz w:val="21"/>
      <w:szCs w:val="22"/>
      <w:lang w:val="en-US" w:eastAsia="en-US" w:bidi="ar-SA"/>
    </w:rPr>
  </w:style>
  <w:style w:type="character" w:styleId="VerbatimChar" w:customStyle="1">
    <w:name w:val="Verbatim 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table" w:default="1" w:styleId="TableNormal">
    <w:name w:val="Normal Table"/>
    <w:uiPriority w:val="99"/>
    <w:semiHidden/>
    <w:unhideWhenUsed/>
    <w:tblPr>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CellMar>
        <w:top w:w="80" w:type="dxa"/>
        <w:left w:w="160" w:type="dxa"/>
        <w:bottom w:w="80" w:type="dxa"/>
        <w:right w:w="16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LibreOffice/26.2.1.2$Linux_X86_64 LibreOffice_project/620$Build-2</Application>
  <AppVersion>15.0000</AppVersion>
  <Pages>12</Pages>
  <Words>1630</Words>
  <Characters>9859</Characters>
  <CharactersWithSpaces>11177</CharactersWithSpaces>
  <Paragraphs>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2026-06-28T11:29:15Z</dcterms:created>
  <dc:creator>html-to-docx</dc:creator>
  <dc:description/>
  <cp:keywords>html-to-docx</cp:keywords>
  <dc:language>en-IN</dc:language>
  <cp:lastModifiedBy/>
  <cp:lastPrinted>2026-06-28T17:43:20Z</cp:lastPrinted>
  <dcterms:modified xsi:type="dcterms:W3CDTF">2026-06-28T17:43:33Z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