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Excel数据转换结果</w:t>
      </w:r>
    </w:p>
    <w:p>
      <w:pPr>
        <w:pStyle w:val="Heading4"/>
        <w:jc w:val="left"/>
      </w:pPr>
      <w:r>
        <w:t>TC001:测试用例1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TC001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测试用例1</w:t>
            </w:r>
          </w:p>
        </w:tc>
      </w:tr>
      <w:tr>
        <w:tc>
          <w:tcPr>
            <w:tcW w:type="dxa" w:w="4320"/>
          </w:tcPr>
          <w:p>
            <w:r>
              <w:t>问题等级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