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个税说明通知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各位老师好：</w:t>
      </w:r>
    </w:p>
    <w:p>
      <w:pPr>
        <w:spacing w:line="240" w:lineRule="auto"/>
        <w:ind w:firstLine="548" w:firstLineChars="200"/>
        <w:rPr>
          <w:rFonts w:hint="eastAsia" w:asciiTheme="majorEastAsia" w:hAnsiTheme="majorEastAsia" w:eastAsiaTheme="majorEastAsia" w:cstheme="majorEastAsia"/>
          <w:spacing w:val="-3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pacing w:val="-3"/>
          <w:sz w:val="28"/>
          <w:szCs w:val="28"/>
          <w:lang w:val="en-US" w:eastAsia="zh-CN"/>
        </w:rPr>
        <w:t>交税是中国公民应尽的义务，公司根据《中华人民共和国个人所得税法实施条例》严格遵守，针对近期老师们对薪资个税产生诸多疑问，为普及个税知识，现将个税相关条例及计算公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pacing w:val="-3"/>
          <w:sz w:val="28"/>
          <w:szCs w:val="28"/>
          <w:lang w:val="en-US" w:eastAsia="zh-CN"/>
        </w:rPr>
        <w:t>式告知如下，盼知晓：</w:t>
      </w:r>
    </w:p>
    <w:p>
      <w:pPr>
        <w:spacing w:line="240" w:lineRule="auto"/>
        <w:ind w:firstLine="550" w:firstLineChars="200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-3"/>
          <w:sz w:val="28"/>
          <w:szCs w:val="28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我国现行的个税政策实行分类征收制度，应税所得分为11类，包括工资、薪金所得;个体我国现行的个税政策实行分类征收制度，应税所得分为11类，包括工资、薪金所得;个体工商户的生产经营所得;利息、股息、红利所得;财产租赁所得;财产转让所得等等。工商户的生产经营所得;利息、股息、红利所得;财产租赁所得;财产转让所得等等。</w:t>
      </w:r>
    </w:p>
    <w:tbl>
      <w:tblPr>
        <w:tblStyle w:val="9"/>
        <w:tblW w:w="10499" w:type="dxa"/>
        <w:jc w:val="center"/>
        <w:tblCellSpacing w:w="15" w:type="dxa"/>
        <w:tblInd w:w="-10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3742"/>
        <w:gridCol w:w="3742"/>
        <w:gridCol w:w="1230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0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个人所得税税率表（一）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371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应纳税所得额(含税)</w:t>
            </w:r>
          </w:p>
        </w:tc>
        <w:tc>
          <w:tcPr>
            <w:tcW w:w="371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应纳税所得额(不含税)</w:t>
            </w:r>
          </w:p>
        </w:tc>
        <w:tc>
          <w:tcPr>
            <w:tcW w:w="12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税率(%)</w:t>
            </w:r>
          </w:p>
        </w:tc>
        <w:tc>
          <w:tcPr>
            <w:tcW w:w="1245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不超过1500元的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不超过1455元的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超过1500元至4,500元的部分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超过1455元至4,155元的部分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超过4,500元至9,000元的部分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超过4,155元至7,755元的部分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超过9,000元至35,000元的部分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超过7,755元至27,255元的部分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超过35,000元至55,000元的部分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超过27,255元至41,255元的部分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2,775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超过55,000元至80,000元的部分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超过41,255元至57,505元的部分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5,505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45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超过80,000元的部分</w:t>
            </w:r>
          </w:p>
        </w:tc>
        <w:tc>
          <w:tcPr>
            <w:tcW w:w="371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超过57,505的部分</w:t>
            </w:r>
          </w:p>
        </w:tc>
        <w:tc>
          <w:tcPr>
            <w:tcW w:w="120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1245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13,505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b/>
          <w:bCs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　　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(</w:t>
      </w:r>
      <w:r>
        <w:rPr>
          <w:b w:val="0"/>
          <w:color w:val="333333"/>
          <w:sz w:val="24"/>
          <w:szCs w:val="24"/>
        </w:rPr>
        <w:t>1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)</w:t>
      </w:r>
      <w:r>
        <w:rPr>
          <w:b w:val="0"/>
          <w:color w:val="333333"/>
          <w:sz w:val="24"/>
          <w:szCs w:val="24"/>
        </w:rPr>
        <w:t>、</w:t>
      </w:r>
      <w:r>
        <w:rPr>
          <w:b/>
          <w:bCs/>
          <w:color w:val="333333"/>
          <w:sz w:val="24"/>
          <w:szCs w:val="24"/>
        </w:rPr>
        <w:t>本表含税级距中应纳税所得额，是指每月收入金额 - 各项社会保险金(五险一金) - 起征点3500元(外籍4800元)的余额。</w:t>
      </w:r>
      <w:r>
        <w:rPr>
          <w:rFonts w:hint="eastAsia"/>
          <w:b/>
          <w:bCs/>
          <w:color w:val="333333"/>
          <w:sz w:val="24"/>
          <w:szCs w:val="24"/>
          <w:lang w:eastAsia="zh-CN"/>
        </w:rPr>
        <w:t>即公式为</w:t>
      </w: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:每月应缴税额=应纳所得额*税率-速算扣除数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(2)、含税级距适用于由纳税人负担税款的工资、薪金所得;不含税级距适用于由他人(单位)代付税款的工资、薪金所得。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color w:val="333333"/>
          <w:sz w:val="24"/>
          <w:szCs w:val="24"/>
        </w:rPr>
      </w:pPr>
      <w:r>
        <w:rPr>
          <w:rStyle w:val="4"/>
          <w:color w:val="333333"/>
          <w:sz w:val="24"/>
          <w:szCs w:val="24"/>
        </w:rPr>
        <w:t>　年终奖所得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b w:val="0"/>
          <w:color w:val="333333"/>
          <w:sz w:val="24"/>
          <w:szCs w:val="24"/>
        </w:rPr>
        <w:t>　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　年终奖所得，将年终奖金额除以12个月，以每月平均收入金额来确定税率和速度扣除数，年终奖所得税率表与工资、薪金所得的税率表相同，只是他们的计算方式不同。</w:t>
      </w:r>
    </w:p>
    <w:tbl>
      <w:tblPr>
        <w:tblStyle w:val="9"/>
        <w:tblW w:w="10305" w:type="dxa"/>
        <w:jc w:val="center"/>
        <w:tblCellSpacing w:w="15" w:type="dxa"/>
        <w:tblInd w:w="-8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3"/>
        <w:gridCol w:w="5902"/>
        <w:gridCol w:w="1800"/>
        <w:gridCol w:w="1935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10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个人所得税税率表（二）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Header/>
          <w:tblCellSpacing w:w="15" w:type="dxa"/>
          <w:jc w:val="center"/>
        </w:trPr>
        <w:tc>
          <w:tcPr>
            <w:tcW w:w="608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872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平均每月收入</w:t>
            </w:r>
          </w:p>
        </w:tc>
        <w:tc>
          <w:tcPr>
            <w:tcW w:w="177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税率(%)</w:t>
            </w:r>
          </w:p>
        </w:tc>
        <w:tc>
          <w:tcPr>
            <w:tcW w:w="189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rHeight w:val="450" w:hRule="atLeast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不超过1500元的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超过1500元至4,500元的部分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超过4,500元至9,000元的部分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超过9,000元至35,000元的部分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超过35,000元至55,000元的部分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2,775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超过55,000元至80,000元的部分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5,505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5" w:type="dxa"/>
          <w:tblCellSpacing w:w="15" w:type="dxa"/>
          <w:jc w:val="center"/>
        </w:trPr>
        <w:tc>
          <w:tcPr>
            <w:tcW w:w="608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872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超过80,000元的部分</w:t>
            </w:r>
          </w:p>
        </w:tc>
        <w:tc>
          <w:tcPr>
            <w:tcW w:w="177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1890" w:type="dxa"/>
            <w:tcBorders>
              <w:bottom w:val="dotted" w:color="333333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20" w:lineRule="atLeast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13,505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　　说明：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　　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(</w:t>
      </w:r>
      <w:r>
        <w:rPr>
          <w:b w:val="0"/>
          <w:color w:val="333333"/>
          <w:sz w:val="24"/>
          <w:szCs w:val="24"/>
        </w:rPr>
        <w:t>1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)</w:t>
      </w:r>
      <w:r>
        <w:rPr>
          <w:b w:val="0"/>
          <w:color w:val="333333"/>
          <w:sz w:val="24"/>
          <w:szCs w:val="24"/>
        </w:rPr>
        <w:t>、本表平均每月收入为年终奖所得金额除以12个月后的平均值。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90" w:beforeAutospacing="0" w:after="0" w:afterAutospacing="0" w:line="450" w:lineRule="atLeast"/>
        <w:ind w:left="0" w:right="0"/>
        <w:rPr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>　　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(</w:t>
      </w:r>
      <w:r>
        <w:rPr>
          <w:b w:val="0"/>
          <w:color w:val="333333"/>
          <w:sz w:val="24"/>
          <w:szCs w:val="24"/>
        </w:rPr>
        <w:t>2</w:t>
      </w:r>
      <w:r>
        <w:rPr>
          <w:rFonts w:hint="eastAsia"/>
          <w:b w:val="0"/>
          <w:color w:val="333333"/>
          <w:sz w:val="24"/>
          <w:szCs w:val="24"/>
          <w:lang w:val="en-US" w:eastAsia="zh-CN"/>
        </w:rPr>
        <w:t>)</w:t>
      </w:r>
      <w:r>
        <w:rPr>
          <w:b w:val="0"/>
          <w:color w:val="333333"/>
          <w:sz w:val="24"/>
          <w:szCs w:val="24"/>
        </w:rPr>
        <w:t>、税率表与工资、薪金所得税率表相同。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个人所得税主要实行代扣代缴税款的征收方式（每月由公司代扣及代为申报，当月查到个税为上上月的报税额，例，8月份网上查到是6月份工资所申报扣缴的税额，因公司通常是下个月才发放上月的工资）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Chars="0" w:right="0" w:right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  小码哥人事部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Chars="0" w:right="0" w:rightChars="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2017年8月16日</w:t>
      </w:r>
    </w:p>
    <w:sectPr>
      <w:pgSz w:w="11906" w:h="16838"/>
      <w:pgMar w:top="1440" w:right="1406" w:bottom="1440" w:left="140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09A2"/>
    <w:multiLevelType w:val="singleLevel"/>
    <w:tmpl w:val="599409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5407A"/>
    <w:rsid w:val="0C230972"/>
    <w:rsid w:val="1AE9763F"/>
    <w:rsid w:val="200D011E"/>
    <w:rsid w:val="2155487D"/>
    <w:rsid w:val="291D3B45"/>
    <w:rsid w:val="30546594"/>
    <w:rsid w:val="54A45AE6"/>
    <w:rsid w:val="6C75407A"/>
    <w:rsid w:val="7ADE0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665C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qFormat/>
    <w:uiPriority w:val="0"/>
    <w:rPr>
      <w:color w:val="3665C3"/>
      <w:u w:val="none"/>
    </w:rPr>
  </w:style>
  <w:style w:type="character" w:styleId="8">
    <w:name w:val="HTML Code"/>
    <w:basedOn w:val="3"/>
    <w:qFormat/>
    <w:uiPriority w:val="0"/>
    <w:rPr>
      <w:rFonts w:ascii="Courier New" w:hAnsi="Courier New"/>
      <w:sz w:val="20"/>
    </w:rPr>
  </w:style>
  <w:style w:type="character" w:customStyle="1" w:styleId="10">
    <w:name w:val="hover"/>
    <w:basedOn w:val="3"/>
    <w:qFormat/>
    <w:uiPriority w:val="0"/>
    <w:rPr>
      <w:shd w:val="clear" w:fill="82C74D"/>
    </w:rPr>
  </w:style>
  <w:style w:type="character" w:customStyle="1" w:styleId="11">
    <w:name w:val="before"/>
    <w:basedOn w:val="3"/>
    <w:qFormat/>
    <w:uiPriority w:val="0"/>
    <w:rPr>
      <w:shd w:val="clear" w:fill="6BBB2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2017-08-16T08:30:00Z</dcterms:created>
  <dc:creator>xmg</dc:creator>
  <cp:lastModifiedBy>xmg</cp:lastModifiedBy>
  <dcterms:modified xsi:type="dcterms:W3CDTF">2017-08-16T10:38:11Z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