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8F7F6"/>
  <w:body>
    <w:p w14:paraId="662B99DD" w14:textId="7B646550" w:rsidR="007405E9" w:rsidRPr="00561A2C" w:rsidRDefault="007405E9" w:rsidP="00EF708D">
      <w:pPr>
        <w:rPr>
          <w:rFonts w:ascii="Cavolini" w:eastAsia="Batang" w:hAnsi="Cavolini" w:cs="Cavolini"/>
          <w:noProof/>
        </w:rPr>
      </w:pPr>
      <w:r w:rsidRPr="00561A2C">
        <w:rPr>
          <w:rFonts w:ascii="Cavolini" w:eastAsia="Batang" w:hAnsi="Cavolini" w:cs="Cavolini"/>
          <w:noProof/>
        </w:rPr>
        <w:drawing>
          <wp:inline distT="0" distB="0" distL="0" distR="0" wp14:anchorId="558F95D6" wp14:editId="23B30303">
            <wp:extent cx="6858000" cy="32385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238500"/>
                    </a:xfrm>
                    <a:prstGeom prst="rect">
                      <a:avLst/>
                    </a:prstGeom>
                  </pic:spPr>
                </pic:pic>
              </a:graphicData>
            </a:graphic>
          </wp:inline>
        </w:drawing>
      </w:r>
    </w:p>
    <w:p w14:paraId="426264F5" w14:textId="5FC7DFDE" w:rsidR="00EF708D" w:rsidRPr="00561A2C" w:rsidRDefault="00561A2C" w:rsidP="00561A2C">
      <w:pPr>
        <w:spacing w:after="120"/>
        <w:rPr>
          <w:rFonts w:ascii="Cavolini" w:eastAsia="Batang" w:hAnsi="Cavolini" w:cs="Cavolini"/>
        </w:rPr>
      </w:pPr>
      <w:r w:rsidRPr="00561A2C">
        <w:rPr>
          <w:rFonts w:ascii="Cavolini" w:eastAsia="Batang" w:hAnsi="Cavolini" w:cs="Cavolini"/>
          <w:noProof/>
        </w:rPr>
        <w:t>Consumption</w:t>
      </w:r>
      <w:r w:rsidRPr="00561A2C">
        <w:rPr>
          <w:rFonts w:ascii="Cavolini" w:hAnsi="Cavolini" w:cs="Cavolini"/>
          <w:noProof/>
        </w:rPr>
        <w:drawing>
          <wp:anchor distT="0" distB="45720" distL="114300" distR="114300" simplePos="0" relativeHeight="251658240" behindDoc="0" locked="0" layoutInCell="1" allowOverlap="1" wp14:anchorId="3D4C1545" wp14:editId="1681F525">
            <wp:simplePos x="0" y="0"/>
            <wp:positionH relativeFrom="margin">
              <wp:align>right</wp:align>
            </wp:positionH>
            <wp:positionV relativeFrom="paragraph">
              <wp:posOffset>511175</wp:posOffset>
            </wp:positionV>
            <wp:extent cx="4279392" cy="2743200"/>
            <wp:effectExtent l="38100" t="38100" r="102235" b="95250"/>
            <wp:wrapSquare wrapText="bothSides"/>
            <wp:docPr id="13" name="Chart 13">
              <a:extLst xmlns:a="http://schemas.openxmlformats.org/drawingml/2006/main">
                <a:ext uri="{FF2B5EF4-FFF2-40B4-BE49-F238E27FC236}">
                  <a16:creationId xmlns:a16="http://schemas.microsoft.com/office/drawing/2014/main" id="{091819DA-6C31-4D59-A201-35547952C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rFonts w:ascii="Cavolini" w:eastAsia="Batang" w:hAnsi="Cavolini" w:cs="Cavolini"/>
          <w:noProof/>
        </w:rPr>
        <w:t xml:space="preserve"> is now commonly known as Tuberculosis. </w:t>
      </w:r>
      <w:r w:rsidR="00EF708D" w:rsidRPr="00561A2C">
        <w:rPr>
          <w:rFonts w:ascii="Cavolini" w:eastAsia="Batang" w:hAnsi="Cavolini" w:cs="Cavolini"/>
        </w:rPr>
        <w:t xml:space="preserve">Getting tuberculosis was a death sentence—and a drawn-out one at that. Suffers of the infectious disease </w:t>
      </w:r>
      <w:proofErr w:type="spellStart"/>
      <w:r>
        <w:rPr>
          <w:rFonts w:ascii="Cavolini" w:eastAsia="Batang" w:hAnsi="Cavolini" w:cs="Cavolini"/>
        </w:rPr>
        <w:t>whichs</w:t>
      </w:r>
      <w:proofErr w:type="spellEnd"/>
      <w:r w:rsidR="00EF708D" w:rsidRPr="00561A2C">
        <w:rPr>
          <w:rFonts w:ascii="Cavolini" w:eastAsia="Batang" w:hAnsi="Cavolini" w:cs="Cavolini"/>
        </w:rPr>
        <w:t xml:space="preserve"> typically attacks the lungs</w:t>
      </w:r>
      <w:r w:rsidRPr="00561A2C">
        <w:rPr>
          <w:rFonts w:ascii="Cavolini" w:eastAsia="Batang" w:hAnsi="Cavolini" w:cs="Cavolini"/>
        </w:rPr>
        <w:t>,</w:t>
      </w:r>
      <w:r w:rsidR="00EF708D" w:rsidRPr="00561A2C">
        <w:rPr>
          <w:rFonts w:ascii="Cavolini" w:eastAsia="Batang" w:hAnsi="Cavolini" w:cs="Cavolini"/>
        </w:rPr>
        <w:t xml:space="preserve"> had an average of three years to live. But those years would be filled with coughing and chest pains. </w:t>
      </w:r>
    </w:p>
    <w:p w14:paraId="3D1693AB" w14:textId="625722C9" w:rsidR="00364630" w:rsidRPr="00561A2C" w:rsidRDefault="00364630" w:rsidP="00561A2C">
      <w:pPr>
        <w:spacing w:after="0" w:line="240" w:lineRule="auto"/>
        <w:rPr>
          <w:rFonts w:ascii="Cavolini" w:eastAsia="Batang" w:hAnsi="Cavolini" w:cs="Cavolini"/>
          <w:color w:val="FF0000"/>
          <w:sz w:val="32"/>
          <w:szCs w:val="32"/>
        </w:rPr>
      </w:pPr>
      <w:r w:rsidRPr="00561A2C">
        <w:rPr>
          <w:rFonts w:ascii="Cavolini" w:eastAsia="Batang" w:hAnsi="Cavolini" w:cs="Cavolini"/>
          <w:color w:val="FF0000"/>
          <w:sz w:val="32"/>
          <w:szCs w:val="32"/>
        </w:rPr>
        <w:t>Causes:</w:t>
      </w:r>
      <w:r w:rsidR="00561A2C" w:rsidRPr="00561A2C">
        <w:rPr>
          <w:rFonts w:ascii="Cavolini" w:hAnsi="Cavolini" w:cs="Cavolini"/>
          <w:noProof/>
        </w:rPr>
        <w:t xml:space="preserve"> </w:t>
      </w:r>
    </w:p>
    <w:p w14:paraId="13B82DAA" w14:textId="2AAD1B03" w:rsidR="00364630" w:rsidRPr="00561A2C" w:rsidRDefault="00364630" w:rsidP="00364630">
      <w:pPr>
        <w:pStyle w:val="ListParagraph"/>
        <w:numPr>
          <w:ilvl w:val="0"/>
          <w:numId w:val="1"/>
        </w:numPr>
        <w:rPr>
          <w:rFonts w:ascii="Cavolini" w:eastAsia="Batang" w:hAnsi="Cavolini" w:cs="Cavolini"/>
          <w:noProof/>
        </w:rPr>
      </w:pPr>
      <w:r w:rsidRPr="00561A2C">
        <w:rPr>
          <w:rFonts w:ascii="Cavolini" w:eastAsia="Batang" w:hAnsi="Cavolini" w:cs="Cavolini"/>
          <w:noProof/>
        </w:rPr>
        <w:t>O</w:t>
      </w:r>
      <w:r w:rsidR="00AB6F01" w:rsidRPr="00561A2C">
        <w:rPr>
          <w:rFonts w:ascii="Cavolini" w:eastAsia="Batang" w:hAnsi="Cavolini" w:cs="Cavolini"/>
          <w:noProof/>
        </w:rPr>
        <w:t>vercrowding</w:t>
      </w:r>
    </w:p>
    <w:p w14:paraId="55D741C6" w14:textId="637F5D75" w:rsidR="00364630" w:rsidRPr="00561A2C" w:rsidRDefault="00561A2C" w:rsidP="00364630">
      <w:pPr>
        <w:pStyle w:val="ListParagraph"/>
        <w:numPr>
          <w:ilvl w:val="0"/>
          <w:numId w:val="1"/>
        </w:numPr>
        <w:rPr>
          <w:rFonts w:ascii="Cavolini" w:eastAsia="Batang" w:hAnsi="Cavolini" w:cs="Cavolini"/>
          <w:noProof/>
        </w:rPr>
      </w:pPr>
      <w:r w:rsidRPr="00561A2C">
        <w:rPr>
          <w:rFonts w:ascii="Cavolini" w:eastAsia="Batang" w:hAnsi="Cavolini" w:cs="Cavolini"/>
          <w:noProof/>
        </w:rPr>
        <w:t>P</w:t>
      </w:r>
      <w:r w:rsidR="00AB6F01" w:rsidRPr="00561A2C">
        <w:rPr>
          <w:rFonts w:ascii="Cavolini" w:eastAsia="Batang" w:hAnsi="Cavolini" w:cs="Cavolini"/>
          <w:noProof/>
        </w:rPr>
        <w:t>oor nutrition</w:t>
      </w:r>
    </w:p>
    <w:p w14:paraId="3D72CDF7" w14:textId="03162C99" w:rsidR="00364630" w:rsidRPr="00561A2C" w:rsidRDefault="00561A2C" w:rsidP="00364630">
      <w:pPr>
        <w:pStyle w:val="ListParagraph"/>
        <w:numPr>
          <w:ilvl w:val="0"/>
          <w:numId w:val="1"/>
        </w:numPr>
        <w:rPr>
          <w:rFonts w:ascii="Cavolini" w:eastAsia="Batang" w:hAnsi="Cavolini" w:cs="Cavolini"/>
          <w:noProof/>
        </w:rPr>
      </w:pPr>
      <w:r w:rsidRPr="00561A2C">
        <w:rPr>
          <w:rFonts w:ascii="Cavolini" w:eastAsia="Batang" w:hAnsi="Cavolini" w:cs="Cavolini"/>
          <w:noProof/>
        </w:rPr>
        <w:t>L</w:t>
      </w:r>
      <w:r w:rsidR="00AB6F01" w:rsidRPr="00561A2C">
        <w:rPr>
          <w:rFonts w:ascii="Cavolini" w:eastAsia="Batang" w:hAnsi="Cavolini" w:cs="Cavolini"/>
          <w:noProof/>
        </w:rPr>
        <w:t>ack of hygiene and sanitation</w:t>
      </w:r>
    </w:p>
    <w:p w14:paraId="659CDAAF" w14:textId="61BC63C0" w:rsidR="00364630" w:rsidRPr="00561A2C" w:rsidRDefault="00561A2C" w:rsidP="00364630">
      <w:pPr>
        <w:pStyle w:val="ListParagraph"/>
        <w:numPr>
          <w:ilvl w:val="0"/>
          <w:numId w:val="1"/>
        </w:numPr>
        <w:rPr>
          <w:rFonts w:ascii="Cavolini" w:eastAsia="Batang" w:hAnsi="Cavolini" w:cs="Cavolini"/>
          <w:noProof/>
        </w:rPr>
      </w:pPr>
      <w:r w:rsidRPr="00561A2C">
        <w:rPr>
          <w:rFonts w:ascii="Cavolini" w:eastAsia="Batang" w:hAnsi="Cavolini" w:cs="Cavolini"/>
          <w:noProof/>
        </w:rPr>
        <w:t>L</w:t>
      </w:r>
      <w:r w:rsidR="00364630" w:rsidRPr="00561A2C">
        <w:rPr>
          <w:rFonts w:ascii="Cavolini" w:eastAsia="Batang" w:hAnsi="Cavolini" w:cs="Cavolini"/>
          <w:noProof/>
        </w:rPr>
        <w:t xml:space="preserve">ack </w:t>
      </w:r>
      <w:r w:rsidR="00AB6F01" w:rsidRPr="00561A2C">
        <w:rPr>
          <w:rFonts w:ascii="Cavolini" w:eastAsia="Batang" w:hAnsi="Cavolini" w:cs="Cavolini"/>
          <w:noProof/>
        </w:rPr>
        <w:t>of medical care</w:t>
      </w:r>
    </w:p>
    <w:p w14:paraId="0377CB8B" w14:textId="77777777" w:rsidR="00BA76F5" w:rsidRDefault="00561A2C" w:rsidP="00AB6F01">
      <w:pPr>
        <w:rPr>
          <w:rFonts w:ascii="Cavolini" w:eastAsia="Batang" w:hAnsi="Cavolini" w:cs="Cavolini"/>
          <w:noProof/>
        </w:rPr>
      </w:pPr>
      <w:r w:rsidRPr="00561A2C">
        <w:rPr>
          <w:rFonts w:ascii="Cavolini" w:eastAsia="Batang" w:hAnsi="Cavolini" w:cs="Cavolini"/>
          <w:noProof/>
        </w:rPr>
        <w:t>C</w:t>
      </w:r>
      <w:r w:rsidR="00AB6F01" w:rsidRPr="00561A2C">
        <w:rPr>
          <w:rFonts w:ascii="Cavolini" w:eastAsia="Batang" w:hAnsi="Cavolini" w:cs="Cavolini"/>
          <w:noProof/>
        </w:rPr>
        <w:t>onsumption was probably the most common killer of American colonial adults</w:t>
      </w:r>
      <w:r>
        <w:rPr>
          <w:rFonts w:ascii="Cavolini" w:eastAsia="Batang" w:hAnsi="Cavolini" w:cs="Cavolini"/>
          <w:noProof/>
        </w:rPr>
        <w:t xml:space="preserve">. </w:t>
      </w:r>
      <w:r w:rsidR="00AB6F01" w:rsidRPr="00561A2C">
        <w:rPr>
          <w:rFonts w:ascii="Cavolini" w:eastAsia="Batang" w:hAnsi="Cavolini" w:cs="Cavolini"/>
          <w:noProof/>
        </w:rPr>
        <w:t>But then a major reversal occurred and death rates began to fall. No one knows exactly why, but three explanations have been advanced</w:t>
      </w:r>
      <w:r w:rsidR="00BA76F5">
        <w:rPr>
          <w:rFonts w:ascii="Cavolini" w:eastAsia="Batang" w:hAnsi="Cavolini" w:cs="Cavolini"/>
          <w:noProof/>
        </w:rPr>
        <w:t>:</w:t>
      </w:r>
      <w:r w:rsidR="00AB6F01" w:rsidRPr="00561A2C">
        <w:rPr>
          <w:rFonts w:ascii="Cavolini" w:eastAsia="Batang" w:hAnsi="Cavolini" w:cs="Cavolini"/>
          <w:noProof/>
        </w:rPr>
        <w:t xml:space="preserve"> </w:t>
      </w:r>
    </w:p>
    <w:p w14:paraId="37DD57B4" w14:textId="71767C7F" w:rsidR="00BA76F5" w:rsidRDefault="00BA76F5" w:rsidP="00BA76F5">
      <w:pPr>
        <w:pStyle w:val="ListParagraph"/>
        <w:numPr>
          <w:ilvl w:val="0"/>
          <w:numId w:val="2"/>
        </w:numPr>
        <w:rPr>
          <w:rFonts w:ascii="Cavolini" w:eastAsia="Batang" w:hAnsi="Cavolini" w:cs="Cavolini"/>
        </w:rPr>
      </w:pPr>
      <w:r>
        <w:rPr>
          <w:rFonts w:ascii="Cavolini" w:eastAsia="Batang" w:hAnsi="Cavolini" w:cs="Cavolini"/>
          <w:noProof/>
        </w:rPr>
        <w:t>I</w:t>
      </w:r>
      <w:r w:rsidR="00AB6F01" w:rsidRPr="00BA76F5">
        <w:rPr>
          <w:rFonts w:ascii="Cavolini" w:eastAsia="Batang" w:hAnsi="Cavolini" w:cs="Cavolini"/>
          <w:noProof/>
        </w:rPr>
        <w:t>mproved socioeconomic conditions that led, to better nutrition and living</w:t>
      </w:r>
      <w:r>
        <w:rPr>
          <w:rFonts w:ascii="Cavolini" w:eastAsia="Batang" w:hAnsi="Cavolini" w:cs="Cavolini"/>
          <w:noProof/>
        </w:rPr>
        <w:t>/</w:t>
      </w:r>
      <w:r w:rsidR="00AB6F01" w:rsidRPr="00BA76F5">
        <w:rPr>
          <w:rFonts w:ascii="Cavolini" w:eastAsia="Batang" w:hAnsi="Cavolini" w:cs="Cavolini"/>
          <w:noProof/>
        </w:rPr>
        <w:t>working standards</w:t>
      </w:r>
    </w:p>
    <w:p w14:paraId="04F1AF7C" w14:textId="089B7E2F" w:rsidR="00BA76F5" w:rsidRDefault="00BA76F5" w:rsidP="00BA76F5">
      <w:pPr>
        <w:pStyle w:val="ListParagraph"/>
        <w:numPr>
          <w:ilvl w:val="0"/>
          <w:numId w:val="2"/>
        </w:numPr>
        <w:rPr>
          <w:rFonts w:ascii="Cavolini" w:eastAsia="Batang" w:hAnsi="Cavolini" w:cs="Cavolini"/>
        </w:rPr>
      </w:pPr>
      <w:r>
        <w:rPr>
          <w:rFonts w:ascii="Cavolini" w:eastAsia="Batang" w:hAnsi="Cavolini" w:cs="Cavolini"/>
          <w:noProof/>
        </w:rPr>
        <w:t>A</w:t>
      </w:r>
      <w:r w:rsidR="00AB6F01" w:rsidRPr="00BA76F5">
        <w:rPr>
          <w:rFonts w:ascii="Cavolini" w:eastAsia="Batang" w:hAnsi="Cavolini" w:cs="Cavolini"/>
          <w:noProof/>
        </w:rPr>
        <w:t>pplication of primitive public health measures</w:t>
      </w:r>
    </w:p>
    <w:p w14:paraId="0A478964" w14:textId="1DBB44A3" w:rsidR="00AB6F01" w:rsidRPr="00BA76F5" w:rsidRDefault="00BA76F5" w:rsidP="00BA76F5">
      <w:pPr>
        <w:pStyle w:val="ListParagraph"/>
        <w:numPr>
          <w:ilvl w:val="0"/>
          <w:numId w:val="2"/>
        </w:numPr>
        <w:rPr>
          <w:rFonts w:ascii="Cavolini" w:eastAsia="Batang" w:hAnsi="Cavolini" w:cs="Cavolini"/>
        </w:rPr>
      </w:pPr>
      <w:r>
        <w:rPr>
          <w:rFonts w:ascii="Cavolini" w:eastAsia="Batang" w:hAnsi="Cavolini" w:cs="Cavolini"/>
          <w:noProof/>
        </w:rPr>
        <w:t>R</w:t>
      </w:r>
      <w:r w:rsidR="00AB6F01" w:rsidRPr="00BA76F5">
        <w:rPr>
          <w:rFonts w:ascii="Cavolini" w:eastAsia="Batang" w:hAnsi="Cavolini" w:cs="Cavolini"/>
          <w:noProof/>
        </w:rPr>
        <w:t xml:space="preserve">ealization that tuberculosis was probably an infectious disease and the beginning </w:t>
      </w:r>
      <w:r>
        <w:rPr>
          <w:rFonts w:ascii="Cavolini" w:eastAsia="Batang" w:hAnsi="Cavolini" w:cs="Cavolini"/>
          <w:noProof/>
        </w:rPr>
        <w:t>of isolation</w:t>
      </w:r>
      <w:r w:rsidR="00AB6F01" w:rsidRPr="00BA76F5">
        <w:rPr>
          <w:rFonts w:ascii="Cavolini" w:eastAsia="Batang" w:hAnsi="Cavolini" w:cs="Cavolini"/>
          <w:noProof/>
        </w:rPr>
        <w:t xml:space="preserve"> of contagious </w:t>
      </w:r>
      <w:r>
        <w:rPr>
          <w:rFonts w:ascii="Cavolini" w:eastAsia="Batang" w:hAnsi="Cavolini" w:cs="Cavolini"/>
          <w:noProof/>
        </w:rPr>
        <w:t xml:space="preserve">diseases </w:t>
      </w:r>
      <w:r w:rsidR="00AB6F01" w:rsidRPr="00BA76F5">
        <w:rPr>
          <w:rFonts w:ascii="Cavolini" w:eastAsia="Batang" w:hAnsi="Cavolini" w:cs="Cavolini"/>
          <w:noProof/>
        </w:rPr>
        <w:t>in hospitals and sanatoriums.</w:t>
      </w:r>
    </w:p>
    <w:p w14:paraId="59EA01F1" w14:textId="3444E121" w:rsidR="00364630" w:rsidRPr="00561A2C" w:rsidRDefault="00AB6F01" w:rsidP="00AB6F01">
      <w:pPr>
        <w:rPr>
          <w:rFonts w:ascii="Cavolini" w:eastAsia="Batang" w:hAnsi="Cavolini" w:cs="Cavolini"/>
        </w:rPr>
      </w:pPr>
      <w:r w:rsidRPr="00561A2C">
        <w:rPr>
          <w:rFonts w:ascii="Cavolini" w:eastAsia="Batang" w:hAnsi="Cavolini" w:cs="Cavolini"/>
          <w:noProof/>
        </w:rPr>
        <w:t xml:space="preserve">Toward the end of the nineteenth century, long after death rates from tuberculosis had begun their remarkable downward trend, two historic events occurred that had tremendous subsequent impact on the diagnosis and management of the disease. In 1882, Robert Koch discovered M. tuberculosis and in 1895, Wilhelm Konrad Röntgen </w:t>
      </w:r>
      <w:r w:rsidRPr="00561A2C">
        <w:rPr>
          <w:rFonts w:ascii="Cavolini" w:eastAsia="Batang" w:hAnsi="Cavolini" w:cs="Cavolini"/>
          <w:noProof/>
        </w:rPr>
        <w:lastRenderedPageBreak/>
        <w:t>discovered X-rays. These scientific triumphs were quickly applied to clinical medicine, so that around 1905, the time our historical narrative begins, doctors could make a precise diagnosis of consumption by demonstrating abnormalities in a patient's chest radiograph and finding tubercle bacilli in his or her sputum.</w:t>
      </w:r>
      <w:r w:rsidR="007405E9" w:rsidRPr="00561A2C">
        <w:rPr>
          <w:rFonts w:ascii="Cavolini" w:eastAsia="Batang" w:hAnsi="Cavolini" w:cs="Cavolini"/>
        </w:rPr>
        <w:t xml:space="preserve"> </w:t>
      </w:r>
    </w:p>
    <w:p w14:paraId="5DBC241D" w14:textId="77777777" w:rsidR="00BA76F5" w:rsidRDefault="00561A2C" w:rsidP="00EF708D">
      <w:pPr>
        <w:rPr>
          <w:rFonts w:ascii="Cavolini" w:eastAsia="Batang" w:hAnsi="Cavolini" w:cs="Cavolini"/>
        </w:rPr>
      </w:pPr>
      <w:r w:rsidRPr="00561A2C">
        <w:rPr>
          <w:rFonts w:ascii="Cavolini" w:hAnsi="Cavolini" w:cs="Cavolini"/>
          <w:noProof/>
        </w:rPr>
        <w:drawing>
          <wp:inline distT="0" distB="0" distL="0" distR="0" wp14:anchorId="12C7A2D3" wp14:editId="4E4D5FB2">
            <wp:extent cx="6836735" cy="3232298"/>
            <wp:effectExtent l="0" t="0" r="2540" b="6350"/>
            <wp:docPr id="1" name="Chart 1">
              <a:extLst xmlns:a="http://schemas.openxmlformats.org/drawingml/2006/main">
                <a:ext uri="{FF2B5EF4-FFF2-40B4-BE49-F238E27FC236}">
                  <a16:creationId xmlns:a16="http://schemas.microsoft.com/office/drawing/2014/main" id="{8F1F8696-07EB-4BD6-9C0D-BD67F3213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0797F" w14:textId="4BD9264D" w:rsidR="001C10E9" w:rsidRPr="001C10E9" w:rsidRDefault="00BA76F5" w:rsidP="001C10E9">
      <w:pPr>
        <w:rPr>
          <w:rFonts w:ascii="Cavolini" w:eastAsia="Batang" w:hAnsi="Cavolini" w:cs="Cavolini"/>
          <w:color w:val="FF0000"/>
        </w:rPr>
      </w:pPr>
      <w:r>
        <w:rPr>
          <w:rFonts w:ascii="Cavolini" w:eastAsia="Batang" w:hAnsi="Cavolini" w:cs="Cavolini"/>
        </w:rPr>
        <w:t xml:space="preserve">As you can see tuberculosis is Nashville as starting to decline while the </w:t>
      </w:r>
      <w:r w:rsidRPr="00561A2C">
        <w:rPr>
          <w:rFonts w:ascii="Cavolini" w:eastAsia="Batang" w:hAnsi="Cavolini" w:cs="Cavolini"/>
        </w:rPr>
        <w:t xml:space="preserve">Civil war </w:t>
      </w:r>
      <w:r>
        <w:rPr>
          <w:rFonts w:ascii="Cavolini" w:eastAsia="Batang" w:hAnsi="Cavolini" w:cs="Cavolini"/>
        </w:rPr>
        <w:t>was just beginning in 186</w:t>
      </w:r>
      <w:r w:rsidRPr="00561A2C">
        <w:rPr>
          <w:rFonts w:ascii="Cavolini" w:eastAsia="Batang" w:hAnsi="Cavolini" w:cs="Cavolini"/>
        </w:rPr>
        <w:t>1-</w:t>
      </w:r>
      <w:r>
        <w:rPr>
          <w:rFonts w:ascii="Cavolini" w:eastAsia="Batang" w:hAnsi="Cavolini" w:cs="Cavolini"/>
        </w:rPr>
        <w:t>18</w:t>
      </w:r>
      <w:r w:rsidRPr="00561A2C">
        <w:rPr>
          <w:rFonts w:ascii="Cavolini" w:eastAsia="Batang" w:hAnsi="Cavolini" w:cs="Cavolini"/>
        </w:rPr>
        <w:t>65</w:t>
      </w:r>
      <w:r>
        <w:rPr>
          <w:rFonts w:ascii="Cavolini" w:eastAsia="Batang" w:hAnsi="Cavolini" w:cs="Cavolini"/>
        </w:rPr>
        <w:t xml:space="preserve">. Click below to see the actual news clippings </w:t>
      </w:r>
      <w:r w:rsidR="001C10E9">
        <w:rPr>
          <w:rFonts w:ascii="Cavolini" w:eastAsia="Batang" w:hAnsi="Cavolini" w:cs="Cavolini"/>
        </w:rPr>
        <w:t xml:space="preserve">as the citizens of Nashville begin to deal with the influx of solider deaths. </w:t>
      </w:r>
      <w:hyperlink r:id="rId11" w:anchor="stroll" w:history="1">
        <w:r w:rsidR="001C10E9">
          <w:rPr>
            <w:rStyle w:val="Hyperlink"/>
            <w:rFonts w:ascii="Cavolini" w:eastAsia="Batang" w:hAnsi="Cavolini" w:cs="Cavolini"/>
            <w:color w:val="FF0000"/>
          </w:rPr>
          <w:t>Newspaper clips</w:t>
        </w:r>
      </w:hyperlink>
    </w:p>
    <w:p w14:paraId="25EF7C52" w14:textId="48A03D3F" w:rsidR="001C10E9" w:rsidRDefault="001C10E9" w:rsidP="00EF708D">
      <w:pPr>
        <w:rPr>
          <w:rFonts w:ascii="Cavolini" w:eastAsia="Batang" w:hAnsi="Cavolini" w:cs="Cavolini"/>
        </w:rPr>
      </w:pPr>
      <w:r>
        <w:rPr>
          <w:rFonts w:ascii="Cavolini" w:eastAsia="Batang" w:hAnsi="Cavolini" w:cs="Cavolini"/>
          <w:noProof/>
        </w:rPr>
        <mc:AlternateContent>
          <mc:Choice Requires="wps">
            <w:drawing>
              <wp:anchor distT="0" distB="0" distL="114300" distR="114300" simplePos="0" relativeHeight="251657215" behindDoc="1" locked="0" layoutInCell="1" allowOverlap="1" wp14:anchorId="465A6B42" wp14:editId="118591A1">
                <wp:simplePos x="0" y="0"/>
                <wp:positionH relativeFrom="column">
                  <wp:posOffset>-41925</wp:posOffset>
                </wp:positionH>
                <wp:positionV relativeFrom="paragraph">
                  <wp:posOffset>285499</wp:posOffset>
                </wp:positionV>
                <wp:extent cx="4731488" cy="308345"/>
                <wp:effectExtent l="0" t="0" r="12065" b="15875"/>
                <wp:wrapNone/>
                <wp:docPr id="15" name="Rectangle 15"/>
                <wp:cNvGraphicFramePr/>
                <a:graphic xmlns:a="http://schemas.openxmlformats.org/drawingml/2006/main">
                  <a:graphicData uri="http://schemas.microsoft.com/office/word/2010/wordprocessingShape">
                    <wps:wsp>
                      <wps:cNvSpPr/>
                      <wps:spPr>
                        <a:xfrm>
                          <a:off x="0" y="0"/>
                          <a:ext cx="4731488" cy="3083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428FC" id="Rectangle 15" o:spid="_x0000_s1026" style="position:absolute;margin-left:-3.3pt;margin-top:22.5pt;width:372.55pt;height:24.3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" fillcolor="black [3200]" strokecolor="black [1600]" strokeweight="1.25pt"/>
            </w:pict>
          </mc:Fallback>
        </mc:AlternateContent>
      </w:r>
    </w:p>
    <w:p w14:paraId="55ECD2E0" w14:textId="007F6A77" w:rsidR="001C10E9" w:rsidRPr="001C10E9" w:rsidRDefault="001C10E9" w:rsidP="00EF708D">
      <w:pPr>
        <w:rPr>
          <w:rFonts w:ascii="Cavolini" w:eastAsia="Batang" w:hAnsi="Cavolini" w:cs="Cavolini"/>
          <w:color w:val="FF0000"/>
          <w:sz w:val="32"/>
          <w:szCs w:val="32"/>
        </w:rPr>
      </w:pPr>
      <w:r w:rsidRPr="001C10E9">
        <w:rPr>
          <w:rFonts w:ascii="Cavolini" w:eastAsia="Batang" w:hAnsi="Cavolini" w:cs="Cavolini"/>
          <w:color w:val="FF0000"/>
          <w:sz w:val="32"/>
          <w:szCs w:val="32"/>
        </w:rPr>
        <w:t>A Romantic Disease or the White Death?</w:t>
      </w:r>
    </w:p>
    <w:p w14:paraId="5DE82CF5" w14:textId="3C18B391" w:rsidR="001C10E9" w:rsidRPr="00561A2C" w:rsidRDefault="009E7F91" w:rsidP="00EF708D">
      <w:pPr>
        <w:rPr>
          <w:rFonts w:ascii="Cavolini" w:eastAsia="Batang" w:hAnsi="Cavolini" w:cs="Cavolini"/>
        </w:rPr>
      </w:pPr>
      <w:r>
        <w:rPr>
          <w:rFonts w:ascii="Cavolini" w:eastAsia="Batang" w:hAnsi="Cavolini" w:cs="Cavolini"/>
        </w:rPr>
        <w:t>T</w:t>
      </w:r>
      <w:r w:rsidRPr="001C10E9">
        <w:rPr>
          <w:rFonts w:ascii="Cavolini" w:eastAsia="Batang" w:hAnsi="Cavolini" w:cs="Cavolini"/>
        </w:rPr>
        <w:t>he Great White Plague and the White Death, where the “white” was due to the extreme anemic pallor of those infected.</w:t>
      </w:r>
      <w:r>
        <w:rPr>
          <w:rFonts w:ascii="Cavolini" w:eastAsia="Batang" w:hAnsi="Cavolini" w:cs="Cavolini"/>
        </w:rPr>
        <w:t xml:space="preserve"> </w:t>
      </w:r>
      <w:r w:rsidR="001C10E9" w:rsidRPr="001C10E9">
        <w:rPr>
          <w:rFonts w:ascii="Cavolini" w:eastAsia="Batang" w:hAnsi="Cavolini" w:cs="Cavolini"/>
        </w:rPr>
        <w:t>The slow progress of the disease allowed for a "good death" as sufferers could arrange their affairs. The disease began to represent spiritual purity and temporal wealth, leading many young, upper-class women to purposefully pale their skin to achieve the consumptive appearance. British poet Lord Byron wrote, "I should like to die from consumption", helping to popularize the disease as the disease of artists. George Sand doted on her phthisic lover, Frédéric Chopin, calling him her "poor melancholy angel"</w:t>
      </w:r>
      <w:r w:rsidR="001C10E9">
        <w:rPr>
          <w:rFonts w:ascii="Cavolini" w:eastAsia="Batang" w:hAnsi="Cavolini" w:cs="Cavolini"/>
        </w:rPr>
        <w:t xml:space="preserve">. </w:t>
      </w:r>
    </w:p>
    <w:p w14:paraId="7DC9F5E1" w14:textId="465670B0" w:rsidR="009E7F91" w:rsidRDefault="009E7F91" w:rsidP="00EF708D">
      <w:pPr>
        <w:rPr>
          <w:rFonts w:ascii="Cavolini" w:eastAsia="Batang" w:hAnsi="Cavolini" w:cs="Cavolini"/>
        </w:rPr>
      </w:pPr>
    </w:p>
    <w:p w14:paraId="7D2DFD41" w14:textId="6EBB759A" w:rsidR="009E7F91" w:rsidRPr="00F22C84" w:rsidRDefault="00F22C84" w:rsidP="00EF708D">
      <w:pPr>
        <w:rPr>
          <w:rFonts w:ascii="Cavolini" w:eastAsia="Batang" w:hAnsi="Cavolini" w:cs="Cavolini"/>
          <w:b/>
          <w:bCs/>
          <w:i/>
          <w:iCs/>
          <w:sz w:val="36"/>
          <w:szCs w:val="36"/>
        </w:rPr>
      </w:pPr>
      <w:r>
        <w:rPr>
          <w:rFonts w:ascii="Cavolini" w:eastAsia="Batang" w:hAnsi="Cavolini" w:cs="Cavolini"/>
        </w:rPr>
        <w:t xml:space="preserve">Our next event is now posted at: </w:t>
      </w:r>
      <w:hyperlink r:id="rId12" w:history="1">
        <w:r w:rsidRPr="00F22C84">
          <w:rPr>
            <w:rStyle w:val="Hyperlink"/>
            <w:b/>
            <w:bCs/>
            <w:i/>
            <w:iCs/>
            <w:color w:val="FF0000"/>
            <w:sz w:val="36"/>
            <w:szCs w:val="36"/>
          </w:rPr>
          <w:t>Nashville City Cemetery Association, Inc.</w:t>
        </w:r>
      </w:hyperlink>
    </w:p>
    <w:p w14:paraId="13D3FB25" w14:textId="77777777" w:rsidR="009E7F91" w:rsidRDefault="009E7F91" w:rsidP="00EF708D">
      <w:pPr>
        <w:rPr>
          <w:rFonts w:ascii="Cavolini" w:eastAsia="Batang" w:hAnsi="Cavolini" w:cs="Cavolini"/>
        </w:rPr>
      </w:pPr>
    </w:p>
    <w:p w14:paraId="24537C98" w14:textId="47EABFFC" w:rsidR="001C10E9" w:rsidRDefault="001C10E9" w:rsidP="00EF708D">
      <w:pPr>
        <w:rPr>
          <w:rFonts w:ascii="Cavolini" w:eastAsia="Batang" w:hAnsi="Cavolini" w:cs="Cavolini"/>
        </w:rPr>
      </w:pPr>
      <w:r>
        <w:rPr>
          <w:rFonts w:ascii="Cavolini" w:eastAsia="Batang" w:hAnsi="Cavolini" w:cs="Cavolini"/>
        </w:rPr>
        <w:t>Reference Articles</w:t>
      </w:r>
    </w:p>
    <w:p w14:paraId="1B7494C1" w14:textId="795F0E81" w:rsidR="007405E9" w:rsidRPr="001C10E9" w:rsidRDefault="00C44FBD" w:rsidP="00EF708D">
      <w:pPr>
        <w:rPr>
          <w:rFonts w:ascii="Cavolini" w:eastAsia="Batang" w:hAnsi="Cavolini" w:cs="Cavolini"/>
          <w:color w:val="FF0000"/>
        </w:rPr>
      </w:pPr>
      <w:hyperlink r:id="rId13" w:history="1">
        <w:r w:rsidR="001C10E9" w:rsidRPr="001C10E9">
          <w:rPr>
            <w:rStyle w:val="Hyperlink"/>
            <w:rFonts w:ascii="Cavolini" w:eastAsia="Batang" w:hAnsi="Cavolini" w:cs="Cavolini"/>
            <w:color w:val="FF0000"/>
          </w:rPr>
          <w:t>https://time.com/3086432/scariest-health-issues-1900/</w:t>
        </w:r>
      </w:hyperlink>
    </w:p>
    <w:p w14:paraId="09DAA2CE" w14:textId="117325C8" w:rsidR="007405E9" w:rsidRDefault="00C44FBD" w:rsidP="00EF708D">
      <w:pPr>
        <w:rPr>
          <w:rFonts w:ascii="Cavolini" w:eastAsia="Batang" w:hAnsi="Cavolini" w:cs="Cavolini"/>
          <w:color w:val="FF0000"/>
        </w:rPr>
      </w:pPr>
      <w:hyperlink r:id="rId14" w:history="1">
        <w:r w:rsidR="007405E9" w:rsidRPr="001C10E9">
          <w:rPr>
            <w:rStyle w:val="Hyperlink"/>
            <w:rFonts w:ascii="Cavolini" w:eastAsia="Batang" w:hAnsi="Cavolini" w:cs="Cavolini"/>
            <w:color w:val="FF0000"/>
          </w:rPr>
          <w:t>https://www.atsjournals.org/doi/full/10.1164/rccm.200402-140OE</w:t>
        </w:r>
      </w:hyperlink>
    </w:p>
    <w:p w14:paraId="647EFB88" w14:textId="0253C208" w:rsidR="009E7F91" w:rsidRPr="001C10E9" w:rsidRDefault="00C44FBD" w:rsidP="00EF708D">
      <w:pPr>
        <w:rPr>
          <w:rFonts w:ascii="Cavolini" w:eastAsia="Batang" w:hAnsi="Cavolini" w:cs="Cavolini"/>
          <w:color w:val="FF0000"/>
        </w:rPr>
      </w:pPr>
      <w:hyperlink r:id="rId15" w:history="1">
        <w:r w:rsidR="009E7F91" w:rsidRPr="009E7F91">
          <w:rPr>
            <w:rStyle w:val="Hyperlink"/>
            <w:rFonts w:ascii="Cavolini" w:eastAsia="Batang" w:hAnsi="Cavolini" w:cs="Cavolini"/>
            <w:color w:val="FF0000"/>
          </w:rPr>
          <w:t>https://en.wikipedia.org/wiki/History_of_tuberculosis</w:t>
        </w:r>
      </w:hyperlink>
    </w:p>
    <w:sectPr w:rsidR="009E7F91" w:rsidRPr="001C10E9" w:rsidSect="00BA76F5">
      <w:pgSz w:w="12240" w:h="15840"/>
      <w:pgMar w:top="45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44A89" w14:textId="77777777" w:rsidR="00BA76F5" w:rsidRDefault="00BA76F5" w:rsidP="00BA76F5">
      <w:pPr>
        <w:spacing w:after="0" w:line="240" w:lineRule="auto"/>
      </w:pPr>
      <w:r>
        <w:separator/>
      </w:r>
    </w:p>
  </w:endnote>
  <w:endnote w:type="continuationSeparator" w:id="0">
    <w:p w14:paraId="6C95F869" w14:textId="77777777" w:rsidR="00BA76F5" w:rsidRDefault="00BA76F5" w:rsidP="00BA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volini">
    <w:altName w:val="Cavolini"/>
    <w:charset w:val="00"/>
    <w:family w:val="script"/>
    <w:pitch w:val="variable"/>
    <w:sig w:usb0="A11526FF" w:usb1="8000000A" w:usb2="0001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15DFC" w14:textId="77777777" w:rsidR="00BA76F5" w:rsidRDefault="00BA76F5" w:rsidP="00BA76F5">
      <w:pPr>
        <w:spacing w:after="0" w:line="240" w:lineRule="auto"/>
      </w:pPr>
      <w:r>
        <w:separator/>
      </w:r>
    </w:p>
  </w:footnote>
  <w:footnote w:type="continuationSeparator" w:id="0">
    <w:p w14:paraId="3910ED47" w14:textId="77777777" w:rsidR="00BA76F5" w:rsidRDefault="00BA76F5" w:rsidP="00BA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81157"/>
    <w:multiLevelType w:val="hybridMultilevel"/>
    <w:tmpl w:val="B46C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D0558"/>
    <w:multiLevelType w:val="hybridMultilevel"/>
    <w:tmpl w:val="617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E3"/>
    <w:rsid w:val="000459A2"/>
    <w:rsid w:val="001C10E9"/>
    <w:rsid w:val="001E2E09"/>
    <w:rsid w:val="00364630"/>
    <w:rsid w:val="00561A2C"/>
    <w:rsid w:val="005B18F9"/>
    <w:rsid w:val="006604BC"/>
    <w:rsid w:val="007405E9"/>
    <w:rsid w:val="008151D8"/>
    <w:rsid w:val="00857C2A"/>
    <w:rsid w:val="009E7F91"/>
    <w:rsid w:val="00AB6F01"/>
    <w:rsid w:val="00AE19E3"/>
    <w:rsid w:val="00BA76F5"/>
    <w:rsid w:val="00C31DC1"/>
    <w:rsid w:val="00EF708D"/>
    <w:rsid w:val="00F2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7f6"/>
      <o:colormenu v:ext="edit" fillcolor="#f8f7f6"/>
    </o:shapedefaults>
    <o:shapelayout v:ext="edit">
      <o:idmap v:ext="edit" data="1"/>
    </o:shapelayout>
  </w:shapeDefaults>
  <w:decimalSymbol w:val="."/>
  <w:listSeparator w:val=","/>
  <w14:docId w14:val="1E741B07"/>
  <w15:chartTrackingRefBased/>
  <w15:docId w15:val="{EF555913-B3A8-4152-85CB-DA6641F2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E09"/>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09"/>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1E2E09"/>
    <w:rPr>
      <w:color w:val="CC9900" w:themeColor="hyperlink"/>
      <w:u w:val="single"/>
    </w:rPr>
  </w:style>
  <w:style w:type="character" w:styleId="UnresolvedMention">
    <w:name w:val="Unresolved Mention"/>
    <w:basedOn w:val="DefaultParagraphFont"/>
    <w:uiPriority w:val="99"/>
    <w:semiHidden/>
    <w:unhideWhenUsed/>
    <w:rsid w:val="001E2E09"/>
    <w:rPr>
      <w:color w:val="605E5C"/>
      <w:shd w:val="clear" w:color="auto" w:fill="E1DFDD"/>
    </w:rPr>
  </w:style>
  <w:style w:type="paragraph" w:styleId="ListParagraph">
    <w:name w:val="List Paragraph"/>
    <w:basedOn w:val="Normal"/>
    <w:uiPriority w:val="34"/>
    <w:qFormat/>
    <w:rsid w:val="00364630"/>
    <w:pPr>
      <w:ind w:left="720"/>
      <w:contextualSpacing/>
    </w:pPr>
  </w:style>
  <w:style w:type="paragraph" w:styleId="Header">
    <w:name w:val="header"/>
    <w:basedOn w:val="Normal"/>
    <w:link w:val="HeaderChar"/>
    <w:uiPriority w:val="99"/>
    <w:unhideWhenUsed/>
    <w:rsid w:val="00BA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6F5"/>
  </w:style>
  <w:style w:type="paragraph" w:styleId="Footer">
    <w:name w:val="footer"/>
    <w:basedOn w:val="Normal"/>
    <w:link w:val="FooterChar"/>
    <w:uiPriority w:val="99"/>
    <w:unhideWhenUsed/>
    <w:rsid w:val="00BA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ime.com/3086432/scariest-health-issues-19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nashvillecitycemetery.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nashvillecitycemetery.org/newspapers2.html" TargetMode="External"/><Relationship Id="rId5" Type="http://schemas.openxmlformats.org/officeDocument/2006/relationships/webSettings" Target="webSettings.xml"/><Relationship Id="rId15" Type="http://schemas.openxmlformats.org/officeDocument/2006/relationships/hyperlink" Target="https://en.wikipedia.org/wiki/History_of_tuberculosis"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atsjournals.org/doi/full/10.1164/rccm.200402-140O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NSS\projects\city-cemetery-burials-SNClevTN\data\Historic_NCC_Interments__1846-197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NSS\projects\city-cemetery-burials-SNClevTN\data\Historic_NCC_Interments__1846-197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[Historic_NCC_Interments__1846-1979.xlsx]Top 10!PivotTable1</c:name>
    <c:fmtId val="36"/>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atin typeface="Cavolini" panose="03000502040302020204" pitchFamily="66" charset="0"/>
                <a:cs typeface="Cavolini" panose="03000502040302020204" pitchFamily="66" charset="0"/>
              </a:rPr>
              <a:t>ToP</a:t>
            </a:r>
            <a:r>
              <a:rPr lang="en-US" baseline="0">
                <a:latin typeface="Cavolini" panose="03000502040302020204" pitchFamily="66" charset="0"/>
                <a:cs typeface="Cavolini" panose="03000502040302020204" pitchFamily="66" charset="0"/>
              </a:rPr>
              <a:t> 10 CAUSES OF </a:t>
            </a:r>
            <a:r>
              <a:rPr lang="en-US" sz="1600" b="1" i="0" u="none" strike="noStrike" cap="all" normalizeH="0" baseline="0">
                <a:effectLst/>
                <a:latin typeface="Cavolini" panose="03000502040302020204" pitchFamily="66" charset="0"/>
                <a:cs typeface="Cavolini" panose="03000502040302020204" pitchFamily="66" charset="0"/>
              </a:rPr>
              <a:t>DEATH</a:t>
            </a:r>
            <a:endParaRPr lang="en-US">
              <a:latin typeface="Cavolini" panose="03000502040302020204" pitchFamily="66" charset="0"/>
              <a:cs typeface="Cavolini" panose="03000502040302020204" pitchFamily="66" charset="0"/>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solidFill>
          <a:ln>
            <a:noFill/>
          </a:ln>
          <a:effectLst/>
        </c:spPr>
        <c:marker>
          <c:symbol val="diamond"/>
          <c:size val="6"/>
          <c:spPr>
            <a:solidFill>
              <a:schemeClr val="accent4"/>
            </a:solidFill>
            <a:ln w="9525">
              <a:solidFill>
                <a:schemeClr val="accent4"/>
              </a:solidFill>
              <a:round/>
            </a:ln>
            <a:effectLst/>
          </c:spPr>
        </c:marker>
        <c:dLbl>
          <c:idx val="0"/>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 10'!$B$3</c:f>
              <c:strCache>
                <c:ptCount val="1"/>
                <c:pt idx="0">
                  <c:v>Total</c:v>
                </c:pt>
              </c:strCache>
            </c:strRef>
          </c:tx>
          <c:spPr>
            <a:solidFill>
              <a:srgbClr val="FF0000"/>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'Top 10'!$A$4:$A$14</c:f>
              <c:strCache>
                <c:ptCount val="10"/>
                <c:pt idx="0">
                  <c:v>Consumption</c:v>
                </c:pt>
                <c:pt idx="1">
                  <c:v>Unknown</c:v>
                </c:pt>
                <c:pt idx="2">
                  <c:v>Cholera</c:v>
                </c:pt>
                <c:pt idx="3">
                  <c:v>Still Born</c:v>
                </c:pt>
                <c:pt idx="4">
                  <c:v>Not Known</c:v>
                </c:pt>
                <c:pt idx="5">
                  <c:v>Old Age</c:v>
                </c:pt>
                <c:pt idx="6">
                  <c:v>Pneumonia</c:v>
                </c:pt>
                <c:pt idx="7">
                  <c:v>Flux</c:v>
                </c:pt>
                <c:pt idx="8">
                  <c:v>Complication</c:v>
                </c:pt>
                <c:pt idx="9">
                  <c:v>Cold</c:v>
                </c:pt>
              </c:strCache>
            </c:strRef>
          </c:cat>
          <c:val>
            <c:numRef>
              <c:f>'Top 10'!$B$4:$B$14</c:f>
              <c:numCache>
                <c:formatCode>General</c:formatCode>
                <c:ptCount val="10"/>
                <c:pt idx="0">
                  <c:v>1770</c:v>
                </c:pt>
                <c:pt idx="1">
                  <c:v>1255</c:v>
                </c:pt>
                <c:pt idx="2">
                  <c:v>1245</c:v>
                </c:pt>
                <c:pt idx="3">
                  <c:v>852</c:v>
                </c:pt>
                <c:pt idx="4">
                  <c:v>647</c:v>
                </c:pt>
                <c:pt idx="5">
                  <c:v>610</c:v>
                </c:pt>
                <c:pt idx="6">
                  <c:v>516</c:v>
                </c:pt>
                <c:pt idx="7">
                  <c:v>469</c:v>
                </c:pt>
                <c:pt idx="8">
                  <c:v>447</c:v>
                </c:pt>
                <c:pt idx="9">
                  <c:v>421</c:v>
                </c:pt>
              </c:numCache>
            </c:numRef>
          </c:val>
          <c:extLst>
            <c:ext xmlns:c16="http://schemas.microsoft.com/office/drawing/2014/chart" uri="{C3380CC4-5D6E-409C-BE32-E72D297353CC}">
              <c16:uniqueId val="{00000000-9F62-434D-8106-3BACE839E485}"/>
            </c:ext>
          </c:extLst>
        </c:ser>
        <c:dLbls>
          <c:dLblPos val="outEnd"/>
          <c:showLegendKey val="0"/>
          <c:showVal val="1"/>
          <c:showCatName val="0"/>
          <c:showSerName val="0"/>
          <c:showPercent val="0"/>
          <c:showBubbleSize val="0"/>
        </c:dLbls>
        <c:gapWidth val="444"/>
        <c:overlap val="-90"/>
        <c:axId val="1801632047"/>
        <c:axId val="1605932607"/>
      </c:barChart>
      <c:catAx>
        <c:axId val="180163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solidFill>
                <a:latin typeface="+mn-lt"/>
                <a:ea typeface="+mn-ea"/>
                <a:cs typeface="+mn-cs"/>
              </a:defRPr>
            </a:pPr>
            <a:endParaRPr lang="en-US"/>
          </a:p>
        </c:txPr>
        <c:crossAx val="1605932607"/>
        <c:crosses val="autoZero"/>
        <c:auto val="1"/>
        <c:lblAlgn val="ctr"/>
        <c:lblOffset val="100"/>
        <c:noMultiLvlLbl val="0"/>
      </c:catAx>
      <c:valAx>
        <c:axId val="1605932607"/>
        <c:scaling>
          <c:orientation val="minMax"/>
        </c:scaling>
        <c:delete val="1"/>
        <c:axPos val="l"/>
        <c:numFmt formatCode="General" sourceLinked="1"/>
        <c:majorTickMark val="none"/>
        <c:minorTickMark val="none"/>
        <c:tickLblPos val="nextTo"/>
        <c:crossAx val="18016320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[Historic_NCC_Interments__1846-1979.xlsx]Sheet4!PivotTable2</c:name>
    <c:fmtId val="2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latin typeface="Cavolini" panose="03000502040302020204" pitchFamily="66" charset="0"/>
                <a:cs typeface="Cavolini" panose="03000502040302020204" pitchFamily="66" charset="0"/>
              </a:rPr>
              <a:t>Tuberculosis through the years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pattFill prst="ltUpDiag">
            <a:fgClr>
              <a:schemeClr val="accent4"/>
            </a:fgClr>
            <a:bgClr>
              <a:schemeClr val="lt1"/>
            </a:bgClr>
          </a:pattFill>
          <a:ln w="34925" cap="rnd">
            <a:solidFill>
              <a:schemeClr val="tx1"/>
            </a:solidFill>
            <a:round/>
          </a:ln>
          <a:effectLst>
            <a:outerShdw dist="25400" dir="2700000" algn="tl" rotWithShape="0">
              <a:schemeClr val="tx1"/>
            </a:outerShdw>
          </a:effectLst>
        </c:spPr>
        <c:marker>
          <c:symbol val="circle"/>
          <c:size val="5"/>
          <c:spPr>
            <a:solidFill>
              <a:schemeClr val="tx1"/>
            </a:solidFill>
            <a:ln w="22225">
              <a:solidFill>
                <a:schemeClr val="lt1"/>
              </a:solidFill>
              <a:round/>
            </a:ln>
            <a:effectLst>
              <a:outerShdw dist="25400" dir="2700000" algn="tl" rotWithShape="0">
                <a:schemeClr val="tx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pattFill prst="ltUpDiag">
            <a:fgClr>
              <a:schemeClr val="accent4"/>
            </a:fgClr>
            <a:bgClr>
              <a:schemeClr val="lt1"/>
            </a:bgClr>
          </a:pattFill>
          <a:ln w="34925" cap="rnd">
            <a:solidFill>
              <a:schemeClr val="tx1"/>
            </a:solidFill>
            <a:round/>
          </a:ln>
          <a:effectLst>
            <a:outerShdw dist="25400" dir="2700000" algn="tl" rotWithShape="0">
              <a:schemeClr val="tx1"/>
            </a:outerShdw>
          </a:effectLst>
        </c:spPr>
        <c:marker>
          <c:symbol val="circle"/>
          <c:size val="5"/>
          <c:spPr>
            <a:solidFill>
              <a:schemeClr val="tx1"/>
            </a:solidFill>
            <a:ln w="22225">
              <a:solidFill>
                <a:schemeClr val="lt1"/>
              </a:solidFill>
              <a:round/>
            </a:ln>
            <a:effectLst>
              <a:outerShdw dist="25400" dir="2700000" algn="tl" rotWithShape="0">
                <a:schemeClr val="tx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pattFill prst="ltUpDiag">
            <a:fgClr>
              <a:schemeClr val="accent4"/>
            </a:fgClr>
            <a:bgClr>
              <a:schemeClr val="lt1"/>
            </a:bgClr>
          </a:pattFill>
          <a:ln w="34925" cap="rnd">
            <a:solidFill>
              <a:schemeClr val="tx1"/>
            </a:solidFill>
            <a:round/>
          </a:ln>
          <a:effectLst>
            <a:outerShdw dist="25400" dir="2700000" algn="tl" rotWithShape="0">
              <a:schemeClr val="tx1"/>
            </a:outerShdw>
          </a:effectLst>
        </c:spPr>
        <c:marker>
          <c:symbol val="circle"/>
          <c:size val="5"/>
          <c:spPr>
            <a:solidFill>
              <a:schemeClr val="tx1"/>
            </a:solidFill>
            <a:ln w="22225">
              <a:solidFill>
                <a:schemeClr val="lt1"/>
              </a:solidFill>
              <a:round/>
            </a:ln>
            <a:effectLst>
              <a:outerShdw dist="25400" dir="2700000" algn="tl" rotWithShape="0">
                <a:schemeClr val="tx1"/>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Sheet4!$B$1:$B$2</c:f>
              <c:strCache>
                <c:ptCount val="1"/>
                <c:pt idx="0">
                  <c:v>Consumption</c:v>
                </c:pt>
              </c:strCache>
            </c:strRef>
          </c:tx>
          <c:spPr>
            <a:ln w="34925" cap="rnd">
              <a:solidFill>
                <a:schemeClr val="tx1"/>
              </a:solidFill>
              <a:round/>
            </a:ln>
            <a:effectLst>
              <a:outerShdw dist="25400" dir="2700000" algn="tl" rotWithShape="0">
                <a:schemeClr val="tx1"/>
              </a:outerShdw>
            </a:effectLst>
          </c:spPr>
          <c:marker>
            <c:symbol val="circle"/>
            <c:size val="5"/>
            <c:spPr>
              <a:solidFill>
                <a:schemeClr val="tx1"/>
              </a:solidFill>
              <a:ln w="22225">
                <a:solidFill>
                  <a:schemeClr val="lt1"/>
                </a:solidFill>
                <a:round/>
              </a:ln>
              <a:effectLst>
                <a:outerShdw dist="25400" dir="2700000" algn="tl" rotWithShape="0">
                  <a:schemeClr val="tx1"/>
                </a:outerShdw>
              </a:effectLst>
            </c:spPr>
          </c:marker>
          <c:cat>
            <c:strRef>
              <c:f>Sheet4!$A$3:$A$14</c:f>
              <c:strCache>
                <c:ptCount val="11"/>
                <c:pt idx="0">
                  <c:v>&lt;1850</c:v>
                </c:pt>
                <c:pt idx="1">
                  <c:v>1850-1854</c:v>
                </c:pt>
                <c:pt idx="2">
                  <c:v>1855-1859</c:v>
                </c:pt>
                <c:pt idx="3">
                  <c:v>1860-1864</c:v>
                </c:pt>
                <c:pt idx="4">
                  <c:v>1865-1869</c:v>
                </c:pt>
                <c:pt idx="5">
                  <c:v>1870-1874</c:v>
                </c:pt>
                <c:pt idx="6">
                  <c:v>1875-1879</c:v>
                </c:pt>
                <c:pt idx="7">
                  <c:v>1880-1884</c:v>
                </c:pt>
                <c:pt idx="8">
                  <c:v>1885-1889</c:v>
                </c:pt>
                <c:pt idx="9">
                  <c:v>1890-1894</c:v>
                </c:pt>
                <c:pt idx="10">
                  <c:v>1895-1899</c:v>
                </c:pt>
              </c:strCache>
            </c:strRef>
          </c:cat>
          <c:val>
            <c:numRef>
              <c:f>Sheet4!$B$3:$B$14</c:f>
              <c:numCache>
                <c:formatCode>General</c:formatCode>
                <c:ptCount val="11"/>
                <c:pt idx="0">
                  <c:v>133</c:v>
                </c:pt>
                <c:pt idx="1">
                  <c:v>216</c:v>
                </c:pt>
                <c:pt idx="2">
                  <c:v>239</c:v>
                </c:pt>
                <c:pt idx="3">
                  <c:v>371</c:v>
                </c:pt>
                <c:pt idx="4">
                  <c:v>349</c:v>
                </c:pt>
                <c:pt idx="5">
                  <c:v>229</c:v>
                </c:pt>
                <c:pt idx="6">
                  <c:v>70</c:v>
                </c:pt>
                <c:pt idx="7">
                  <c:v>68</c:v>
                </c:pt>
                <c:pt idx="8">
                  <c:v>29</c:v>
                </c:pt>
                <c:pt idx="9">
                  <c:v>28</c:v>
                </c:pt>
                <c:pt idx="10">
                  <c:v>20</c:v>
                </c:pt>
              </c:numCache>
            </c:numRef>
          </c:val>
          <c:smooth val="0"/>
          <c:extLst>
            <c:ext xmlns:c16="http://schemas.microsoft.com/office/drawing/2014/chart" uri="{C3380CC4-5D6E-409C-BE32-E72D297353CC}">
              <c16:uniqueId val="{00000000-1014-462F-AB81-6DDCEEDFC6E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702911823"/>
        <c:axId val="702912655"/>
      </c:lineChart>
      <c:catAx>
        <c:axId val="70291182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702912655"/>
        <c:crosses val="autoZero"/>
        <c:auto val="1"/>
        <c:lblAlgn val="ctr"/>
        <c:lblOffset val="100"/>
        <c:noMultiLvlLbl val="0"/>
      </c:catAx>
      <c:valAx>
        <c:axId val="7029126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702911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0000"/>
    </a:solidFill>
    <a:ln w="9525" cap="flat" cmpd="sng" algn="ctr">
      <a:solidFill>
        <a:schemeClr val="accent4"/>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5AEC-0AC3-40CC-8EC5-B7FD34A8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Clevenger</dc:creator>
  <cp:keywords/>
  <dc:description/>
  <cp:lastModifiedBy>Nicole Clevenger</cp:lastModifiedBy>
  <cp:revision>2</cp:revision>
  <dcterms:created xsi:type="dcterms:W3CDTF">2021-03-14T04:09:00Z</dcterms:created>
  <dcterms:modified xsi:type="dcterms:W3CDTF">2021-03-14T04:09:00Z</dcterms:modified>
</cp:coreProperties>
</file>