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8B47C7" w14:textId="3B38041D" w:rsidR="00AE0A9A" w:rsidRDefault="00985DB1">
      <w:pPr>
        <w:rPr>
          <w:rFonts w:ascii="Times New Roman" w:eastAsia="Times New Roman" w:hAnsi="Times New Roman" w:cs="Times New Roman"/>
          <w:sz w:val="24"/>
          <w:szCs w:val="24"/>
        </w:rPr>
      </w:pPr>
      <w:r>
        <w:rPr>
          <w:b/>
          <w:sz w:val="24"/>
          <w:szCs w:val="24"/>
        </w:rPr>
        <w:t xml:space="preserve">Request Title: </w:t>
      </w:r>
      <w:r w:rsidR="00877575">
        <w:rPr>
          <w:b/>
          <w:sz w:val="24"/>
          <w:szCs w:val="24"/>
        </w:rPr>
        <w:t>Request for use of hydrogel-based photoresist (NIPAM)</w:t>
      </w:r>
      <w:r w:rsidR="00877575">
        <w:rPr>
          <w:b/>
          <w:sz w:val="24"/>
          <w:szCs w:val="24"/>
        </w:rPr>
        <w:tab/>
      </w:r>
      <w:r>
        <w:rPr>
          <w:b/>
          <w:sz w:val="24"/>
          <w:szCs w:val="24"/>
        </w:rPr>
        <w:tab/>
      </w:r>
      <w:r>
        <w:rPr>
          <w:b/>
          <w:sz w:val="24"/>
          <w:szCs w:val="24"/>
        </w:rPr>
        <w:tab/>
      </w:r>
      <w:r>
        <w:rPr>
          <w:b/>
          <w:sz w:val="24"/>
          <w:szCs w:val="24"/>
        </w:rPr>
        <w:tab/>
      </w:r>
    </w:p>
    <w:p w14:paraId="2D4D72AD" w14:textId="5E257D68" w:rsidR="00AE0A9A" w:rsidRDefault="00985DB1">
      <w:pPr>
        <w:rPr>
          <w:rFonts w:ascii="Times New Roman" w:eastAsia="Times New Roman" w:hAnsi="Times New Roman" w:cs="Times New Roman"/>
          <w:sz w:val="24"/>
          <w:szCs w:val="24"/>
        </w:rPr>
      </w:pPr>
      <w:r>
        <w:rPr>
          <w:b/>
          <w:sz w:val="24"/>
          <w:szCs w:val="24"/>
        </w:rPr>
        <w:t xml:space="preserve">Requestor: </w:t>
      </w:r>
      <w:r w:rsidR="009308CD">
        <w:rPr>
          <w:b/>
          <w:sz w:val="24"/>
          <w:szCs w:val="24"/>
        </w:rPr>
        <w:t>Paul Chong and Grace Woods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9308CD">
        <w:rPr>
          <w:b/>
          <w:sz w:val="24"/>
          <w:szCs w:val="24"/>
        </w:rPr>
        <w:t>12APR2021</w:t>
      </w:r>
    </w:p>
    <w:p w14:paraId="0F351CAF" w14:textId="77777777" w:rsidR="00AE0A9A" w:rsidRDefault="00985DB1">
      <w:pPr>
        <w:rPr>
          <w:sz w:val="24"/>
          <w:szCs w:val="24"/>
        </w:rPr>
      </w:pPr>
      <w:r>
        <w:rPr>
          <w:b/>
          <w:sz w:val="24"/>
          <w:szCs w:val="24"/>
        </w:rPr>
        <w:t>Non-SNF staff, please complete the following:</w:t>
      </w:r>
    </w:p>
    <w:p w14:paraId="039A2425" w14:textId="67B12F03" w:rsidR="00AE0A9A" w:rsidRDefault="00985DB1">
      <w:pPr>
        <w:rPr>
          <w:sz w:val="24"/>
          <w:szCs w:val="24"/>
        </w:rPr>
      </w:pPr>
      <w:r>
        <w:rPr>
          <w:b/>
          <w:sz w:val="24"/>
          <w:szCs w:val="24"/>
        </w:rPr>
        <w:t>Badger ID:</w:t>
      </w:r>
      <w:r w:rsidR="009308CD">
        <w:rPr>
          <w:b/>
          <w:sz w:val="24"/>
          <w:szCs w:val="24"/>
        </w:rPr>
        <w:t xml:space="preserve"> </w:t>
      </w:r>
      <w:proofErr w:type="spellStart"/>
      <w:r w:rsidR="009308CD">
        <w:rPr>
          <w:b/>
          <w:sz w:val="24"/>
          <w:szCs w:val="24"/>
        </w:rPr>
        <w:t>pxc</w:t>
      </w:r>
      <w:proofErr w:type="spellEnd"/>
      <w:r w:rsidR="00CE5558">
        <w:rPr>
          <w:b/>
          <w:sz w:val="24"/>
          <w:szCs w:val="24"/>
        </w:rPr>
        <w:t xml:space="preserve">, </w:t>
      </w:r>
      <w:proofErr w:type="spellStart"/>
      <w:r w:rsidR="00CE5558">
        <w:rPr>
          <w:b/>
          <w:sz w:val="24"/>
          <w:szCs w:val="24"/>
        </w:rPr>
        <w:t>grawoods</w:t>
      </w:r>
      <w:proofErr w:type="spellEnd"/>
      <w:r>
        <w:rPr>
          <w:b/>
          <w:sz w:val="24"/>
          <w:szCs w:val="24"/>
        </w:rPr>
        <w:tab/>
      </w:r>
      <w:r>
        <w:rPr>
          <w:b/>
          <w:sz w:val="24"/>
          <w:szCs w:val="24"/>
        </w:rPr>
        <w:tab/>
      </w:r>
      <w:r>
        <w:rPr>
          <w:b/>
          <w:sz w:val="24"/>
          <w:szCs w:val="24"/>
        </w:rPr>
        <w:tab/>
      </w:r>
      <w:r>
        <w:rPr>
          <w:b/>
          <w:sz w:val="24"/>
          <w:szCs w:val="24"/>
        </w:rPr>
        <w:tab/>
      </w:r>
    </w:p>
    <w:p w14:paraId="4B694641" w14:textId="30A0643D" w:rsidR="00AE0A9A" w:rsidRDefault="00985DB1">
      <w:pPr>
        <w:rPr>
          <w:sz w:val="24"/>
          <w:szCs w:val="24"/>
        </w:rPr>
      </w:pPr>
      <w:r>
        <w:rPr>
          <w:b/>
          <w:sz w:val="24"/>
          <w:szCs w:val="24"/>
        </w:rPr>
        <w:t xml:space="preserve">Company name/PI: </w:t>
      </w:r>
      <w:r w:rsidR="009308CD">
        <w:rPr>
          <w:b/>
          <w:sz w:val="24"/>
          <w:szCs w:val="24"/>
        </w:rPr>
        <w:t>Guosong Hong</w:t>
      </w:r>
    </w:p>
    <w:p w14:paraId="20B908E7" w14:textId="77777777" w:rsidR="00AE0A9A" w:rsidRDefault="00985DB1">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75973EDC" w14:textId="77777777" w:rsidR="00AE0A9A" w:rsidRDefault="00AE0A9A">
      <w:pPr>
        <w:rPr>
          <w:rFonts w:ascii="Times New Roman" w:eastAsia="Times New Roman" w:hAnsi="Times New Roman" w:cs="Times New Roman"/>
          <w:sz w:val="24"/>
          <w:szCs w:val="24"/>
        </w:rPr>
      </w:pPr>
    </w:p>
    <w:p w14:paraId="7D780141" w14:textId="65711A37" w:rsidR="00CE5558" w:rsidRPr="00CE5558" w:rsidRDefault="00985DB1" w:rsidP="00CE5558">
      <w:pPr>
        <w:numPr>
          <w:ilvl w:val="0"/>
          <w:numId w:val="1"/>
        </w:numPr>
        <w:rPr>
          <w:sz w:val="24"/>
          <w:szCs w:val="24"/>
        </w:rPr>
      </w:pPr>
      <w:r>
        <w:rPr>
          <w:b/>
          <w:sz w:val="24"/>
          <w:szCs w:val="24"/>
        </w:rPr>
        <w:t>The chemical or material.</w:t>
      </w:r>
    </w:p>
    <w:p w14:paraId="23BCDB3C" w14:textId="40317274" w:rsidR="00CE5558" w:rsidRDefault="00985DB1" w:rsidP="00CE5558">
      <w:pPr>
        <w:ind w:left="360"/>
        <w:rPr>
          <w:sz w:val="24"/>
          <w:szCs w:val="24"/>
        </w:rPr>
      </w:pPr>
      <w:r>
        <w:rPr>
          <w:b/>
          <w:sz w:val="24"/>
          <w:szCs w:val="24"/>
        </w:rPr>
        <w:t xml:space="preserve">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8">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400A468" w14:textId="77777777" w:rsidR="00CE5558" w:rsidRDefault="00CE5558" w:rsidP="00CE5558">
      <w:pPr>
        <w:ind w:left="360"/>
        <w:rPr>
          <w:sz w:val="24"/>
          <w:szCs w:val="24"/>
        </w:rPr>
      </w:pPr>
    </w:p>
    <w:p w14:paraId="5E977BD0"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roofErr w:type="gramStart"/>
      <w:r w:rsidRPr="00CE5558">
        <w:rPr>
          <w:rFonts w:ascii="Arial" w:eastAsia="Times New Roman" w:hAnsi="Arial" w:cs="Arial"/>
          <w:b/>
          <w:bCs/>
          <w:color w:val="000000"/>
        </w:rPr>
        <w:t>N,N</w:t>
      </w:r>
      <w:proofErr w:type="gramEnd"/>
      <w:r w:rsidRPr="00CE5558">
        <w:rPr>
          <w:rFonts w:ascii="Arial" w:eastAsia="Times New Roman" w:hAnsi="Arial" w:cs="Arial"/>
          <w:b/>
          <w:bCs/>
          <w:color w:val="000000"/>
        </w:rPr>
        <w:t>’-</w:t>
      </w:r>
      <w:proofErr w:type="spellStart"/>
      <w:r w:rsidRPr="00CE5558">
        <w:rPr>
          <w:rFonts w:ascii="Arial" w:eastAsia="Times New Roman" w:hAnsi="Arial" w:cs="Arial"/>
          <w:b/>
          <w:bCs/>
          <w:color w:val="000000"/>
        </w:rPr>
        <w:t>methylenebisacrylamide</w:t>
      </w:r>
      <w:proofErr w:type="spellEnd"/>
    </w:p>
    <w:p w14:paraId="7475C69B"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655125A9"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110-26-9</w:t>
      </w:r>
    </w:p>
    <w:p w14:paraId="751EC040"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 </w:t>
      </w:r>
    </w:p>
    <w:p w14:paraId="37C23AC1"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100 g</w:t>
      </w:r>
    </w:p>
    <w:p w14:paraId="3154E058"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toxic, sensitizer</w:t>
      </w:r>
    </w:p>
    <w:p w14:paraId="202F6ED5"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56BB9335"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
    <w:p w14:paraId="750B2A1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N-isopropylacrylamide (</w:t>
      </w:r>
      <w:proofErr w:type="spellStart"/>
      <w:r w:rsidRPr="00CE5558">
        <w:rPr>
          <w:rFonts w:ascii="Arial" w:eastAsia="Times New Roman" w:hAnsi="Arial" w:cs="Arial"/>
          <w:b/>
          <w:bCs/>
          <w:color w:val="000000"/>
        </w:rPr>
        <w:t>NIPAm</w:t>
      </w:r>
      <w:proofErr w:type="spellEnd"/>
      <w:r w:rsidRPr="00CE5558">
        <w:rPr>
          <w:rFonts w:ascii="Arial" w:eastAsia="Times New Roman" w:hAnsi="Arial" w:cs="Arial"/>
          <w:b/>
          <w:bCs/>
          <w:color w:val="000000"/>
        </w:rPr>
        <w:t>)</w:t>
      </w:r>
    </w:p>
    <w:p w14:paraId="485A023A"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4014577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2210-25-5</w:t>
      </w:r>
    </w:p>
    <w:p w14:paraId="676D503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7AC41B3"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 g</w:t>
      </w:r>
    </w:p>
    <w:p w14:paraId="56614E70"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corrosive, acutely toxic (category 4)</w:t>
      </w:r>
    </w:p>
    <w:p w14:paraId="6E0AF36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3529AD8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
    <w:p w14:paraId="1AF23975"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lithium phenyl-2,4,6-trimethylbenzoylphosphinate</w:t>
      </w:r>
    </w:p>
    <w:p w14:paraId="59930030"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777B2499"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85073-19-4</w:t>
      </w:r>
    </w:p>
    <w:p w14:paraId="4A3808C1"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2B4A1AA"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2x 1 g (2 g total)</w:t>
      </w:r>
    </w:p>
    <w:p w14:paraId="46AAD086"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lastRenderedPageBreak/>
        <w:t>Hazards: not hazardous</w:t>
      </w:r>
    </w:p>
    <w:p w14:paraId="220E6F63"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1ED3E01D"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4149866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diphenyl(2,4,6-</w:t>
      </w:r>
      <w:proofErr w:type="gramStart"/>
      <w:r w:rsidRPr="00CE5558">
        <w:rPr>
          <w:rFonts w:ascii="Arial" w:eastAsia="Times New Roman" w:hAnsi="Arial" w:cs="Arial"/>
          <w:b/>
          <w:bCs/>
          <w:color w:val="000000"/>
        </w:rPr>
        <w:t>trimethylbenzoyl)phosphine</w:t>
      </w:r>
      <w:proofErr w:type="gramEnd"/>
      <w:r w:rsidRPr="00CE5558">
        <w:rPr>
          <w:rFonts w:ascii="Arial" w:eastAsia="Times New Roman" w:hAnsi="Arial" w:cs="Arial"/>
          <w:b/>
          <w:bCs/>
          <w:color w:val="000000"/>
        </w:rPr>
        <w:t xml:space="preserve"> oxide</w:t>
      </w:r>
    </w:p>
    <w:p w14:paraId="3CB5533D"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13472BBF"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CAS:75980-60-8</w:t>
      </w:r>
    </w:p>
    <w:p w14:paraId="2C65F709"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EC2D408"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 g</w:t>
      </w:r>
    </w:p>
    <w:p w14:paraId="734D26D9"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acutely toxic (category 4), sensitizer, hazardous to environment</w:t>
      </w:r>
    </w:p>
    <w:p w14:paraId="71D83AE8"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0F58BBAA"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5A241317"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acrylic acid</w:t>
      </w:r>
    </w:p>
    <w:p w14:paraId="34FD4B3F"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743C8D52"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79-10-7</w:t>
      </w:r>
    </w:p>
    <w:p w14:paraId="52067009"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C04DCD0"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500 g</w:t>
      </w:r>
    </w:p>
    <w:p w14:paraId="419805B5"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flammable, corrosive, acutely toxic (category 4), hazardous to environment</w:t>
      </w:r>
    </w:p>
    <w:p w14:paraId="001FCB0C"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L, D</w:t>
      </w:r>
    </w:p>
    <w:p w14:paraId="5EBD3A1D"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1C6B5191"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1-butanol (butyl alcohol)</w:t>
      </w:r>
    </w:p>
    <w:p w14:paraId="5C24E02C"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0DB8D02E"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71-36-3</w:t>
      </w:r>
    </w:p>
    <w:p w14:paraId="0617202C"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4039F8F3"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 L</w:t>
      </w:r>
    </w:p>
    <w:p w14:paraId="0B104844"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flammable, corrosive, acutely toxic (category 4)</w:t>
      </w:r>
    </w:p>
    <w:p w14:paraId="0AB0FED8"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L</w:t>
      </w:r>
    </w:p>
    <w:p w14:paraId="0C524DD0" w14:textId="427BE846" w:rsidR="00CE5558" w:rsidRDefault="00CE5558" w:rsidP="00CE5558">
      <w:pPr>
        <w:ind w:left="360"/>
        <w:rPr>
          <w:sz w:val="24"/>
          <w:szCs w:val="24"/>
        </w:rPr>
      </w:pPr>
    </w:p>
    <w:p w14:paraId="60774744" w14:textId="12F43102"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1</w:t>
      </w:r>
      <w:r>
        <w:rPr>
          <w:rFonts w:ascii="Arial" w:eastAsia="Times New Roman" w:hAnsi="Arial" w:cs="Arial"/>
          <w:b/>
          <w:bCs/>
          <w:color w:val="000000"/>
        </w:rPr>
        <w:t>,2-ethanediol (ethylene glycol)</w:t>
      </w:r>
    </w:p>
    <w:p w14:paraId="5AF5D877" w14:textId="77777777"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247E2220" w14:textId="6BDB86FD"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CAS: </w:t>
      </w:r>
      <w:r>
        <w:rPr>
          <w:rFonts w:ascii="Arial" w:eastAsia="Times New Roman" w:hAnsi="Arial" w:cs="Arial"/>
          <w:color w:val="000000"/>
        </w:rPr>
        <w:t>107-21-1</w:t>
      </w:r>
    </w:p>
    <w:p w14:paraId="15EFF7C0"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32003739"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 L</w:t>
      </w:r>
    </w:p>
    <w:p w14:paraId="4D536192" w14:textId="1F9FC06F"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Hazards: </w:t>
      </w:r>
      <w:r>
        <w:rPr>
          <w:rFonts w:ascii="Arial" w:eastAsia="Times New Roman" w:hAnsi="Arial" w:cs="Arial"/>
          <w:color w:val="000000"/>
        </w:rPr>
        <w:t>sensitizer</w:t>
      </w:r>
      <w:r w:rsidRPr="00CE5558">
        <w:rPr>
          <w:rFonts w:ascii="Arial" w:eastAsia="Times New Roman" w:hAnsi="Arial" w:cs="Arial"/>
          <w:color w:val="000000"/>
        </w:rPr>
        <w:t>, acutely toxic (category 4)</w:t>
      </w:r>
    </w:p>
    <w:p w14:paraId="12D2EC0B" w14:textId="74DDAA2A" w:rsidR="0050615D"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Storage group: </w:t>
      </w:r>
      <w:r>
        <w:rPr>
          <w:rFonts w:ascii="Arial" w:eastAsia="Times New Roman" w:hAnsi="Arial" w:cs="Arial"/>
          <w:color w:val="000000"/>
        </w:rPr>
        <w:t>G</w:t>
      </w:r>
    </w:p>
    <w:p w14:paraId="76D613E7" w14:textId="27128643" w:rsidR="0050615D" w:rsidRDefault="0050615D" w:rsidP="0050615D">
      <w:pPr>
        <w:widowControl/>
        <w:spacing w:after="0" w:line="240" w:lineRule="auto"/>
        <w:textAlignment w:val="baseline"/>
        <w:rPr>
          <w:rFonts w:ascii="Arial" w:eastAsia="Times New Roman" w:hAnsi="Arial" w:cs="Arial"/>
          <w:color w:val="000000"/>
        </w:rPr>
      </w:pPr>
    </w:p>
    <w:p w14:paraId="0CB572B6" w14:textId="77777777" w:rsidR="0050615D" w:rsidRDefault="0050615D" w:rsidP="0050615D">
      <w:pPr>
        <w:widowControl/>
        <w:spacing w:after="0" w:line="240" w:lineRule="auto"/>
        <w:textAlignment w:val="baseline"/>
        <w:rPr>
          <w:rFonts w:ascii="Arial" w:eastAsia="Times New Roman" w:hAnsi="Arial" w:cs="Arial"/>
          <w:color w:val="000000"/>
        </w:rPr>
      </w:pPr>
    </w:p>
    <w:p w14:paraId="15C34D7D" w14:textId="23C3C8B6"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1</w:t>
      </w:r>
      <w:r>
        <w:rPr>
          <w:rFonts w:ascii="Arial" w:eastAsia="Times New Roman" w:hAnsi="Arial" w:cs="Arial"/>
          <w:b/>
          <w:bCs/>
          <w:color w:val="000000"/>
        </w:rPr>
        <w:t>,2-propanediol (propylene glycol)</w:t>
      </w:r>
    </w:p>
    <w:p w14:paraId="008064E5" w14:textId="77777777"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58AB464F" w14:textId="337FBDD2"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CAS: </w:t>
      </w:r>
      <w:r>
        <w:rPr>
          <w:rFonts w:ascii="Arial" w:eastAsia="Times New Roman" w:hAnsi="Arial" w:cs="Arial"/>
          <w:color w:val="000000"/>
        </w:rPr>
        <w:t>57-55-6</w:t>
      </w:r>
    </w:p>
    <w:p w14:paraId="3DB5297B"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A051E63" w14:textId="7E052471"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Amount: </w:t>
      </w:r>
      <w:r>
        <w:rPr>
          <w:rFonts w:ascii="Arial" w:eastAsia="Times New Roman" w:hAnsi="Arial" w:cs="Arial"/>
          <w:color w:val="000000"/>
        </w:rPr>
        <w:t>500 mL</w:t>
      </w:r>
    </w:p>
    <w:p w14:paraId="616B9979" w14:textId="5D1EE0D3"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Hazards: </w:t>
      </w:r>
      <w:r>
        <w:rPr>
          <w:rFonts w:ascii="Arial" w:eastAsia="Times New Roman" w:hAnsi="Arial" w:cs="Arial"/>
          <w:color w:val="000000"/>
        </w:rPr>
        <w:t>nonhazardous</w:t>
      </w:r>
    </w:p>
    <w:p w14:paraId="77EBAB2B" w14:textId="4928D6B3" w:rsidR="0050615D"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Storage group: </w:t>
      </w:r>
      <w:r>
        <w:rPr>
          <w:rFonts w:ascii="Arial" w:eastAsia="Times New Roman" w:hAnsi="Arial" w:cs="Arial"/>
          <w:color w:val="000000"/>
        </w:rPr>
        <w:t>G</w:t>
      </w:r>
    </w:p>
    <w:p w14:paraId="3EC17608" w14:textId="77777777" w:rsidR="0050615D" w:rsidRDefault="0050615D" w:rsidP="0050615D">
      <w:pPr>
        <w:widowControl/>
        <w:spacing w:after="0" w:line="240" w:lineRule="auto"/>
        <w:ind w:left="720"/>
        <w:textAlignment w:val="baseline"/>
        <w:rPr>
          <w:rFonts w:ascii="Arial" w:eastAsia="Times New Roman" w:hAnsi="Arial" w:cs="Arial"/>
          <w:color w:val="000000"/>
        </w:rPr>
      </w:pPr>
    </w:p>
    <w:p w14:paraId="2C6F63AF" w14:textId="48500997" w:rsidR="0050615D" w:rsidRDefault="0050615D" w:rsidP="0050615D">
      <w:pPr>
        <w:widowControl/>
        <w:spacing w:after="0" w:line="240" w:lineRule="auto"/>
        <w:textAlignment w:val="baseline"/>
        <w:rPr>
          <w:rFonts w:ascii="Arial" w:eastAsia="Times New Roman" w:hAnsi="Arial" w:cs="Arial"/>
          <w:color w:val="000000"/>
        </w:rPr>
      </w:pPr>
    </w:p>
    <w:p w14:paraId="0734342F" w14:textId="17F94E3B" w:rsidR="0050615D" w:rsidRPr="00CE5558" w:rsidRDefault="0050615D" w:rsidP="0050615D">
      <w:pPr>
        <w:widowControl/>
        <w:spacing w:after="0" w:line="240" w:lineRule="auto"/>
        <w:rPr>
          <w:rFonts w:ascii="Times New Roman" w:eastAsia="Times New Roman" w:hAnsi="Times New Roman" w:cs="Times New Roman"/>
          <w:sz w:val="24"/>
          <w:szCs w:val="24"/>
        </w:rPr>
      </w:pPr>
      <w:r>
        <w:rPr>
          <w:rFonts w:ascii="Arial" w:eastAsia="Times New Roman" w:hAnsi="Arial" w:cs="Arial"/>
          <w:b/>
          <w:bCs/>
          <w:color w:val="000000"/>
        </w:rPr>
        <w:t>1,2,3-propanetriol (glycerol)</w:t>
      </w:r>
    </w:p>
    <w:p w14:paraId="78C2912A" w14:textId="77777777"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5B47EAE6" w14:textId="2F7FBA1A"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CAS: </w:t>
      </w:r>
      <w:r>
        <w:rPr>
          <w:rFonts w:ascii="Arial" w:eastAsia="Times New Roman" w:hAnsi="Arial" w:cs="Arial"/>
          <w:color w:val="000000"/>
        </w:rPr>
        <w:t>56-81-5</w:t>
      </w:r>
    </w:p>
    <w:p w14:paraId="710B5018"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A0CA10D" w14:textId="213F8EF2"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Amount: </w:t>
      </w:r>
      <w:r>
        <w:rPr>
          <w:rFonts w:ascii="Arial" w:eastAsia="Times New Roman" w:hAnsi="Arial" w:cs="Arial"/>
          <w:color w:val="000000"/>
        </w:rPr>
        <w:t>100 mL</w:t>
      </w:r>
    </w:p>
    <w:p w14:paraId="318B6523" w14:textId="385F050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Hazards: </w:t>
      </w:r>
      <w:r>
        <w:rPr>
          <w:rFonts w:ascii="Arial" w:eastAsia="Times New Roman" w:hAnsi="Arial" w:cs="Arial"/>
          <w:color w:val="000000"/>
        </w:rPr>
        <w:t>nonhazardous</w:t>
      </w:r>
    </w:p>
    <w:p w14:paraId="4BB3BB64" w14:textId="23C5FA35"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Storage group: </w:t>
      </w:r>
      <w:r>
        <w:rPr>
          <w:rFonts w:ascii="Arial" w:eastAsia="Times New Roman" w:hAnsi="Arial" w:cs="Arial"/>
          <w:color w:val="000000"/>
        </w:rPr>
        <w:t>G</w:t>
      </w:r>
    </w:p>
    <w:p w14:paraId="268AA7E3" w14:textId="30577CDE" w:rsidR="0050615D" w:rsidRDefault="0050615D" w:rsidP="0050615D">
      <w:pPr>
        <w:rPr>
          <w:sz w:val="24"/>
          <w:szCs w:val="24"/>
        </w:rPr>
      </w:pPr>
    </w:p>
    <w:p w14:paraId="275E1C7A" w14:textId="77777777" w:rsidR="0050615D" w:rsidRDefault="0050615D" w:rsidP="00CE5558">
      <w:pPr>
        <w:ind w:left="360"/>
        <w:rPr>
          <w:sz w:val="24"/>
          <w:szCs w:val="24"/>
        </w:rPr>
      </w:pPr>
    </w:p>
    <w:p w14:paraId="665F7E3E" w14:textId="29AA6C5D" w:rsidR="00CE5558" w:rsidRDefault="00CE5558" w:rsidP="00CE5558">
      <w:pPr>
        <w:rPr>
          <w:sz w:val="24"/>
          <w:szCs w:val="24"/>
        </w:rPr>
      </w:pPr>
      <w:r>
        <w:rPr>
          <w:sz w:val="24"/>
          <w:szCs w:val="24"/>
        </w:rPr>
        <w:t xml:space="preserve">Chemicals will be used to develop new </w:t>
      </w:r>
      <w:r w:rsidR="00877575">
        <w:rPr>
          <w:sz w:val="24"/>
          <w:szCs w:val="24"/>
        </w:rPr>
        <w:t xml:space="preserve">hydrogel-based </w:t>
      </w:r>
      <w:r>
        <w:rPr>
          <w:sz w:val="24"/>
          <w:szCs w:val="24"/>
        </w:rPr>
        <w:t>photoresist</w:t>
      </w:r>
      <w:r w:rsidR="00877575">
        <w:rPr>
          <w:sz w:val="24"/>
          <w:szCs w:val="24"/>
        </w:rPr>
        <w:t xml:space="preserve"> for use in ENGR 241 in Spring 2021.</w:t>
      </w:r>
    </w:p>
    <w:p w14:paraId="215222DE" w14:textId="77777777" w:rsidR="00CE5558" w:rsidRDefault="00CE5558" w:rsidP="00CE5558">
      <w:pPr>
        <w:ind w:left="360"/>
        <w:rPr>
          <w:sz w:val="24"/>
          <w:szCs w:val="24"/>
        </w:rPr>
      </w:pPr>
    </w:p>
    <w:p w14:paraId="0C5F6045" w14:textId="7676AAE3" w:rsidR="00AE0A9A" w:rsidRDefault="00985DB1">
      <w:pPr>
        <w:numPr>
          <w:ilvl w:val="0"/>
          <w:numId w:val="1"/>
        </w:numPr>
        <w:rPr>
          <w:sz w:val="24"/>
          <w:szCs w:val="24"/>
        </w:rPr>
      </w:pPr>
      <w:r>
        <w:rPr>
          <w:b/>
          <w:sz w:val="24"/>
          <w:szCs w:val="24"/>
        </w:rPr>
        <w:t>Vendor/manufacturer info:</w:t>
      </w:r>
      <w:r>
        <w:rPr>
          <w:sz w:val="24"/>
          <w:szCs w:val="24"/>
        </w:rPr>
        <w:t xml:space="preserve"> address and phone number, website URL.</w:t>
      </w:r>
    </w:p>
    <w:p w14:paraId="4186ABEB" w14:textId="1F7EEA1F" w:rsidR="00CE5558" w:rsidRPr="00CE5558" w:rsidRDefault="00CE5558" w:rsidP="00CE5558">
      <w:pPr>
        <w:ind w:left="360"/>
        <w:rPr>
          <w:rFonts w:asciiTheme="majorHAnsi" w:hAnsiTheme="majorHAnsi"/>
          <w:bCs/>
        </w:rPr>
      </w:pPr>
      <w:r w:rsidRPr="00CE5558">
        <w:rPr>
          <w:rFonts w:asciiTheme="majorHAnsi" w:hAnsiTheme="majorHAnsi"/>
          <w:bCs/>
        </w:rPr>
        <w:t>Vendor: Sigma-Aldrich</w:t>
      </w:r>
    </w:p>
    <w:p w14:paraId="00F8B7A4" w14:textId="21A21376" w:rsidR="00CE5558" w:rsidRPr="00CE5558" w:rsidRDefault="00CE5558" w:rsidP="00CE5558">
      <w:pPr>
        <w:widowControl/>
        <w:spacing w:after="0" w:line="240" w:lineRule="auto"/>
        <w:ind w:left="360"/>
        <w:rPr>
          <w:rFonts w:asciiTheme="majorHAnsi" w:eastAsia="Times New Roman" w:hAnsiTheme="majorHAnsi" w:cs="Arial"/>
          <w:color w:val="000000"/>
          <w:shd w:val="clear" w:color="auto" w:fill="FFFFFF"/>
        </w:rPr>
      </w:pPr>
      <w:r w:rsidRPr="00CE5558">
        <w:rPr>
          <w:rFonts w:asciiTheme="majorHAnsi" w:eastAsia="Times New Roman" w:hAnsiTheme="majorHAnsi" w:cs="Arial"/>
          <w:color w:val="000000"/>
          <w:shd w:val="clear" w:color="auto" w:fill="FFFFFF"/>
        </w:rPr>
        <w:t>Sigma-Aldrich</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Technical Services</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PO Box 14508</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St. Louis, MO 63178</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UNITED STATES</w:t>
      </w:r>
    </w:p>
    <w:p w14:paraId="13ADC14A" w14:textId="77777777" w:rsidR="00CE5558" w:rsidRPr="00CE5558" w:rsidRDefault="00CE5558" w:rsidP="00CE5558">
      <w:pPr>
        <w:widowControl/>
        <w:spacing w:after="0" w:line="240" w:lineRule="auto"/>
        <w:ind w:firstLine="360"/>
        <w:rPr>
          <w:rFonts w:asciiTheme="majorHAnsi" w:eastAsia="Times New Roman" w:hAnsiTheme="majorHAnsi" w:cs="Times New Roman"/>
        </w:rPr>
      </w:pPr>
      <w:r w:rsidRPr="00CE5558">
        <w:rPr>
          <w:rFonts w:asciiTheme="majorHAnsi" w:eastAsia="Times New Roman" w:hAnsiTheme="majorHAnsi" w:cs="Arial"/>
          <w:color w:val="000000"/>
          <w:shd w:val="clear" w:color="auto" w:fill="FFFFFF"/>
        </w:rPr>
        <w:t>Phone: 800-325-5832</w:t>
      </w:r>
    </w:p>
    <w:p w14:paraId="61D150D6" w14:textId="54F96DFB" w:rsidR="00CE5558" w:rsidRPr="00CE5558" w:rsidRDefault="00CE5558" w:rsidP="00CE5558">
      <w:pPr>
        <w:widowControl/>
        <w:spacing w:after="0" w:line="240" w:lineRule="auto"/>
        <w:ind w:left="360"/>
        <w:rPr>
          <w:rFonts w:asciiTheme="majorHAnsi" w:eastAsia="Times New Roman" w:hAnsiTheme="majorHAnsi" w:cs="Arial"/>
        </w:rPr>
      </w:pPr>
      <w:r w:rsidRPr="00CE5558">
        <w:rPr>
          <w:rFonts w:asciiTheme="majorHAnsi" w:eastAsia="Times New Roman" w:hAnsiTheme="majorHAnsi" w:cs="Arial"/>
        </w:rPr>
        <w:t>Website URL: https://www.sigmaaldrich.com/united-states.html</w:t>
      </w:r>
    </w:p>
    <w:p w14:paraId="62E85C29" w14:textId="77777777" w:rsidR="00CE5558" w:rsidRPr="00CE5558" w:rsidRDefault="00CE5558" w:rsidP="00CE5558">
      <w:pPr>
        <w:ind w:left="360"/>
        <w:rPr>
          <w:rFonts w:ascii="Arial" w:hAnsi="Arial" w:cs="Arial"/>
          <w:bCs/>
          <w:sz w:val="28"/>
          <w:szCs w:val="28"/>
        </w:rPr>
      </w:pPr>
    </w:p>
    <w:p w14:paraId="21965671" w14:textId="77777777" w:rsidR="00CE5558" w:rsidRPr="00CE5558" w:rsidRDefault="00CE5558" w:rsidP="00CE5558">
      <w:pPr>
        <w:ind w:left="360"/>
        <w:rPr>
          <w:bCs/>
          <w:sz w:val="24"/>
          <w:szCs w:val="24"/>
        </w:rPr>
      </w:pPr>
    </w:p>
    <w:p w14:paraId="41FD013F" w14:textId="7FFD28AC" w:rsidR="00AE0A9A" w:rsidRDefault="00985DB1">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2E0E3D4E" w14:textId="38E3E037" w:rsidR="00CE5558" w:rsidRDefault="00CE5558" w:rsidP="00CE5558">
      <w:pPr>
        <w:ind w:left="360"/>
        <w:rPr>
          <w:sz w:val="24"/>
          <w:szCs w:val="24"/>
        </w:rPr>
      </w:pPr>
      <w:r>
        <w:rPr>
          <w:sz w:val="24"/>
          <w:szCs w:val="24"/>
        </w:rPr>
        <w:t>Chemicals listed will be used to formulate a new stimuli-responsive hydrogel photoresist</w:t>
      </w:r>
      <w:r w:rsidR="00877575">
        <w:rPr>
          <w:sz w:val="24"/>
          <w:szCs w:val="24"/>
        </w:rPr>
        <w:t>, which is currently being funded by ENGR 241. We plan on making the photoresist in our own lab and will bring it, in liquid form, into SNF.</w:t>
      </w:r>
    </w:p>
    <w:p w14:paraId="35DA5DC0" w14:textId="4DF8BFE7" w:rsidR="00CE5558" w:rsidRDefault="001F15E0" w:rsidP="00CE5558">
      <w:pPr>
        <w:autoSpaceDE w:val="0"/>
        <w:autoSpaceDN w:val="0"/>
        <w:adjustRightInd w:val="0"/>
        <w:spacing w:line="240" w:lineRule="auto"/>
        <w:ind w:left="640" w:hanging="640"/>
        <w:rPr>
          <w:sz w:val="24"/>
          <w:szCs w:val="24"/>
        </w:rPr>
      </w:pPr>
      <w:r>
        <w:rPr>
          <w:sz w:val="24"/>
          <w:szCs w:val="24"/>
        </w:rPr>
        <w:t>References</w:t>
      </w:r>
      <w:r w:rsidR="00CE5558">
        <w:rPr>
          <w:sz w:val="24"/>
          <w:szCs w:val="24"/>
        </w:rPr>
        <w:t>:</w:t>
      </w:r>
    </w:p>
    <w:p w14:paraId="4652A343" w14:textId="440766DA" w:rsidR="001F15E0" w:rsidRPr="001F15E0" w:rsidRDefault="00CE5558" w:rsidP="001F15E0">
      <w:pPr>
        <w:autoSpaceDE w:val="0"/>
        <w:autoSpaceDN w:val="0"/>
        <w:adjustRightInd w:val="0"/>
        <w:spacing w:line="240" w:lineRule="auto"/>
        <w:ind w:left="640" w:hanging="640"/>
        <w:rPr>
          <w:rFonts w:cs="Times New Roman"/>
          <w:noProof/>
          <w:sz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sidR="001F15E0" w:rsidRPr="001F15E0">
        <w:rPr>
          <w:rFonts w:cs="Times New Roman"/>
          <w:noProof/>
          <w:sz w:val="24"/>
        </w:rPr>
        <w:t xml:space="preserve">(1) </w:t>
      </w:r>
      <w:r w:rsidR="001F15E0" w:rsidRPr="001F15E0">
        <w:rPr>
          <w:rFonts w:cs="Times New Roman"/>
          <w:noProof/>
          <w:sz w:val="24"/>
        </w:rPr>
        <w:tab/>
        <w:t xml:space="preserve">Bassik, N.; Abebe, B. T.; Laflin, K. E.; Gracias, D. H. Photolithographically Patterned Smart Hydrogel Based Bilayer Actuators. </w:t>
      </w:r>
      <w:r w:rsidR="001F15E0" w:rsidRPr="001F15E0">
        <w:rPr>
          <w:rFonts w:cs="Times New Roman"/>
          <w:i/>
          <w:iCs/>
          <w:noProof/>
          <w:sz w:val="24"/>
        </w:rPr>
        <w:t>Polymer (Guildf).</w:t>
      </w:r>
      <w:r w:rsidR="001F15E0" w:rsidRPr="001F15E0">
        <w:rPr>
          <w:rFonts w:cs="Times New Roman"/>
          <w:noProof/>
          <w:sz w:val="24"/>
        </w:rPr>
        <w:t xml:space="preserve"> </w:t>
      </w:r>
      <w:r w:rsidR="001F15E0" w:rsidRPr="001F15E0">
        <w:rPr>
          <w:rFonts w:cs="Times New Roman"/>
          <w:b/>
          <w:bCs/>
          <w:noProof/>
          <w:sz w:val="24"/>
        </w:rPr>
        <w:t>2010</w:t>
      </w:r>
      <w:r w:rsidR="001F15E0" w:rsidRPr="001F15E0">
        <w:rPr>
          <w:rFonts w:cs="Times New Roman"/>
          <w:noProof/>
          <w:sz w:val="24"/>
        </w:rPr>
        <w:t xml:space="preserve">, </w:t>
      </w:r>
      <w:r w:rsidR="001F15E0" w:rsidRPr="001F15E0">
        <w:rPr>
          <w:rFonts w:cs="Times New Roman"/>
          <w:i/>
          <w:iCs/>
          <w:noProof/>
          <w:sz w:val="24"/>
        </w:rPr>
        <w:t>51</w:t>
      </w:r>
      <w:r w:rsidR="001F15E0" w:rsidRPr="001F15E0">
        <w:rPr>
          <w:rFonts w:cs="Times New Roman"/>
          <w:noProof/>
          <w:sz w:val="24"/>
        </w:rPr>
        <w:t xml:space="preserve"> (26), 6093–6098. https://doi.org/10.1016/J.POLYMER.2010.10.035.</w:t>
      </w:r>
    </w:p>
    <w:p w14:paraId="6B4E284A" w14:textId="77777777" w:rsidR="001F15E0" w:rsidRPr="001F15E0" w:rsidRDefault="001F15E0" w:rsidP="001F15E0">
      <w:pPr>
        <w:autoSpaceDE w:val="0"/>
        <w:autoSpaceDN w:val="0"/>
        <w:adjustRightInd w:val="0"/>
        <w:spacing w:line="240" w:lineRule="auto"/>
        <w:ind w:left="640" w:hanging="640"/>
        <w:rPr>
          <w:noProof/>
          <w:sz w:val="24"/>
        </w:rPr>
      </w:pPr>
      <w:r w:rsidRPr="001F15E0">
        <w:rPr>
          <w:rFonts w:cs="Times New Roman"/>
          <w:noProof/>
          <w:sz w:val="24"/>
        </w:rPr>
        <w:t xml:space="preserve">(2) </w:t>
      </w:r>
      <w:r w:rsidRPr="001F15E0">
        <w:rPr>
          <w:rFonts w:cs="Times New Roman"/>
          <w:noProof/>
          <w:sz w:val="24"/>
        </w:rPr>
        <w:tab/>
        <w:t xml:space="preserve">Hippler, M.; Blasco, E.; Qu, J.; Tanaka, M.; Barner-Kowollik, C.; Wegener, M.; Bastmeyer, M. Controlling the Shape of 3D Microstructures by Temperature and Light. </w:t>
      </w:r>
      <w:r w:rsidRPr="001F15E0">
        <w:rPr>
          <w:rFonts w:cs="Times New Roman"/>
          <w:i/>
          <w:iCs/>
          <w:noProof/>
          <w:sz w:val="24"/>
        </w:rPr>
        <w:t>Nat. Commun.</w:t>
      </w:r>
      <w:r w:rsidRPr="001F15E0">
        <w:rPr>
          <w:rFonts w:cs="Times New Roman"/>
          <w:noProof/>
          <w:sz w:val="24"/>
        </w:rPr>
        <w:t xml:space="preserve"> </w:t>
      </w:r>
      <w:r w:rsidRPr="001F15E0">
        <w:rPr>
          <w:rFonts w:cs="Times New Roman"/>
          <w:b/>
          <w:bCs/>
          <w:noProof/>
          <w:sz w:val="24"/>
        </w:rPr>
        <w:t>2019</w:t>
      </w:r>
      <w:r w:rsidRPr="001F15E0">
        <w:rPr>
          <w:rFonts w:cs="Times New Roman"/>
          <w:noProof/>
          <w:sz w:val="24"/>
        </w:rPr>
        <w:t xml:space="preserve">, </w:t>
      </w:r>
      <w:r w:rsidRPr="001F15E0">
        <w:rPr>
          <w:rFonts w:cs="Times New Roman"/>
          <w:i/>
          <w:iCs/>
          <w:noProof/>
          <w:sz w:val="24"/>
        </w:rPr>
        <w:t>10</w:t>
      </w:r>
      <w:r w:rsidRPr="001F15E0">
        <w:rPr>
          <w:rFonts w:cs="Times New Roman"/>
          <w:noProof/>
          <w:sz w:val="24"/>
        </w:rPr>
        <w:t xml:space="preserve"> (1), 1–8. https://doi.org/10.1038/s41467-018-08175-w.</w:t>
      </w:r>
    </w:p>
    <w:p w14:paraId="12FA2D5D" w14:textId="77777777" w:rsidR="001F15E0" w:rsidRDefault="00CE5558" w:rsidP="001F15E0">
      <w:pPr>
        <w:autoSpaceDE w:val="0"/>
        <w:autoSpaceDN w:val="0"/>
        <w:adjustRightInd w:val="0"/>
        <w:spacing w:line="240" w:lineRule="auto"/>
        <w:ind w:left="640" w:hanging="640"/>
        <w:rPr>
          <w:sz w:val="24"/>
          <w:szCs w:val="24"/>
        </w:rPr>
      </w:pPr>
      <w:r>
        <w:rPr>
          <w:sz w:val="24"/>
          <w:szCs w:val="24"/>
        </w:rPr>
        <w:fldChar w:fldCharType="end"/>
      </w:r>
    </w:p>
    <w:p w14:paraId="2225A0FC" w14:textId="69E2E1A0" w:rsidR="00AE0A9A" w:rsidRPr="001F15E0" w:rsidRDefault="00985DB1" w:rsidP="001F15E0">
      <w:pPr>
        <w:pStyle w:val="ListParagraph"/>
        <w:numPr>
          <w:ilvl w:val="0"/>
          <w:numId w:val="1"/>
        </w:numPr>
        <w:autoSpaceDE w:val="0"/>
        <w:autoSpaceDN w:val="0"/>
        <w:adjustRightInd w:val="0"/>
        <w:spacing w:line="240" w:lineRule="auto"/>
        <w:rPr>
          <w:sz w:val="24"/>
          <w:szCs w:val="24"/>
        </w:rPr>
      </w:pPr>
      <w:r w:rsidRPr="001F15E0">
        <w:rPr>
          <w:b/>
          <w:sz w:val="24"/>
          <w:szCs w:val="24"/>
        </w:rPr>
        <w:t>Process Flow:</w:t>
      </w:r>
      <w:r w:rsidRPr="001F15E0">
        <w:rPr>
          <w:sz w:val="24"/>
          <w:szCs w:val="24"/>
        </w:rPr>
        <w:t xml:space="preserve"> Please provide a detailed process flow description on how and where you</w:t>
      </w:r>
      <w:r w:rsidR="001F15E0" w:rsidRPr="001F15E0">
        <w:rPr>
          <w:sz w:val="24"/>
          <w:szCs w:val="24"/>
        </w:rPr>
        <w:t xml:space="preserve"> </w:t>
      </w:r>
      <w:r w:rsidRPr="001F15E0">
        <w:rPr>
          <w:sz w:val="24"/>
          <w:szCs w:val="24"/>
        </w:rPr>
        <w:t xml:space="preserve">proposed to use this chemical. This should include </w:t>
      </w:r>
      <w:r w:rsidRPr="001F15E0">
        <w:rPr>
          <w:b/>
          <w:sz w:val="24"/>
          <w:szCs w:val="24"/>
        </w:rPr>
        <w:t>all</w:t>
      </w:r>
      <w:r w:rsidRPr="001F15E0">
        <w:rPr>
          <w:sz w:val="24"/>
          <w:szCs w:val="24"/>
        </w:rPr>
        <w:t xml:space="preserve"> </w:t>
      </w:r>
      <w:r w:rsidRPr="001F15E0">
        <w:rPr>
          <w:b/>
          <w:sz w:val="24"/>
          <w:szCs w:val="24"/>
        </w:rPr>
        <w:t xml:space="preserve">Lab equipment </w:t>
      </w:r>
      <w:r w:rsidRPr="001F15E0">
        <w:rPr>
          <w:sz w:val="24"/>
          <w:szCs w:val="24"/>
        </w:rPr>
        <w:t>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w:t>
      </w:r>
      <w:r w:rsidR="001F15E0" w:rsidRPr="001F15E0">
        <w:rPr>
          <w:sz w:val="24"/>
          <w:szCs w:val="24"/>
        </w:rPr>
        <w:t xml:space="preserve"> </w:t>
      </w:r>
      <w:r w:rsidRPr="001F15E0">
        <w:rPr>
          <w:sz w:val="24"/>
          <w:szCs w:val="24"/>
        </w:rPr>
        <w:t xml:space="preserve">fabrication. To be allowed into a "clean" tool, the material should MOS grade or better. </w:t>
      </w:r>
    </w:p>
    <w:p w14:paraId="189DA7E2" w14:textId="5B75D8D2" w:rsidR="00AE0A9A" w:rsidRDefault="00AE0A9A">
      <w:pPr>
        <w:rPr>
          <w:sz w:val="24"/>
          <w:szCs w:val="24"/>
        </w:rPr>
      </w:pPr>
    </w:p>
    <w:p w14:paraId="164B949E" w14:textId="004038DA" w:rsidR="001F15E0" w:rsidRDefault="001F15E0" w:rsidP="00877575">
      <w:pPr>
        <w:ind w:left="360"/>
        <w:rPr>
          <w:sz w:val="24"/>
          <w:szCs w:val="24"/>
        </w:rPr>
      </w:pPr>
      <w:r>
        <w:rPr>
          <w:sz w:val="24"/>
          <w:szCs w:val="24"/>
        </w:rPr>
        <w:t xml:space="preserve">Chemicals will be used to formulate a new photoresist in house (Guosong Hong lab) outside of SNF and will be brought into SNF in a closed container. Resist will be spin coated </w:t>
      </w:r>
      <w:r w:rsidR="00877575">
        <w:rPr>
          <w:sz w:val="24"/>
          <w:szCs w:val="24"/>
        </w:rPr>
        <w:t xml:space="preserve">(Headway) </w:t>
      </w:r>
      <w:r>
        <w:rPr>
          <w:sz w:val="24"/>
          <w:szCs w:val="24"/>
        </w:rPr>
        <w:t>onto a film of SU-8 on a silicon wafer</w:t>
      </w:r>
      <w:r w:rsidR="00EE0F52">
        <w:rPr>
          <w:sz w:val="24"/>
          <w:szCs w:val="24"/>
        </w:rPr>
        <w:t xml:space="preserve">, </w:t>
      </w:r>
      <w:r w:rsidR="00EE0F52" w:rsidRPr="00EE0F52">
        <w:rPr>
          <w:sz w:val="24"/>
          <w:szCs w:val="24"/>
          <w:highlight w:val="yellow"/>
        </w:rPr>
        <w:t>edge</w:t>
      </w:r>
      <w:r w:rsidR="00230FAF">
        <w:rPr>
          <w:sz w:val="24"/>
          <w:szCs w:val="24"/>
          <w:highlight w:val="yellow"/>
        </w:rPr>
        <w:t>s</w:t>
      </w:r>
      <w:r w:rsidR="00EE0F52" w:rsidRPr="00EE0F52">
        <w:rPr>
          <w:sz w:val="24"/>
          <w:szCs w:val="24"/>
          <w:highlight w:val="yellow"/>
        </w:rPr>
        <w:t xml:space="preserve"> will be wiped with a</w:t>
      </w:r>
      <w:r w:rsidR="00CC76B0">
        <w:rPr>
          <w:sz w:val="24"/>
          <w:szCs w:val="24"/>
          <w:highlight w:val="yellow"/>
        </w:rPr>
        <w:t xml:space="preserve"> wetted</w:t>
      </w:r>
      <w:r w:rsidR="00EE0F52" w:rsidRPr="00EE0F52">
        <w:rPr>
          <w:sz w:val="24"/>
          <w:szCs w:val="24"/>
          <w:highlight w:val="yellow"/>
        </w:rPr>
        <w:t xml:space="preserve"> </w:t>
      </w:r>
      <w:r w:rsidR="00CC76B0">
        <w:rPr>
          <w:sz w:val="24"/>
          <w:szCs w:val="24"/>
          <w:highlight w:val="yellow"/>
        </w:rPr>
        <w:t xml:space="preserve">foam </w:t>
      </w:r>
      <w:r w:rsidR="00EE0F52" w:rsidRPr="00EE0F52">
        <w:rPr>
          <w:sz w:val="24"/>
          <w:szCs w:val="24"/>
          <w:highlight w:val="yellow"/>
        </w:rPr>
        <w:t>spear-tipped</w:t>
      </w:r>
      <w:r w:rsidR="00CC76B0">
        <w:rPr>
          <w:sz w:val="24"/>
          <w:szCs w:val="24"/>
          <w:highlight w:val="yellow"/>
        </w:rPr>
        <w:t xml:space="preserve"> applicator</w:t>
      </w:r>
      <w:r w:rsidR="00EE0F52" w:rsidRPr="00EE0F52">
        <w:rPr>
          <w:sz w:val="24"/>
          <w:szCs w:val="24"/>
          <w:highlight w:val="yellow"/>
        </w:rPr>
        <w:t xml:space="preserve"> swab to remove edge bead and prevent resist from flowing off wafer</w:t>
      </w:r>
      <w:r w:rsidR="00EE0F52">
        <w:rPr>
          <w:sz w:val="24"/>
          <w:szCs w:val="24"/>
        </w:rPr>
        <w:t>,</w:t>
      </w:r>
      <w:r>
        <w:rPr>
          <w:sz w:val="24"/>
          <w:szCs w:val="24"/>
        </w:rPr>
        <w:t xml:space="preserve"> photopatterned with </w:t>
      </w:r>
      <w:r w:rsidRPr="00EE0F52">
        <w:rPr>
          <w:sz w:val="24"/>
          <w:szCs w:val="24"/>
          <w:highlight w:val="yellow"/>
        </w:rPr>
        <w:t>the</w:t>
      </w:r>
      <w:r w:rsidR="00EE0F52" w:rsidRPr="00EE0F52">
        <w:rPr>
          <w:sz w:val="24"/>
          <w:szCs w:val="24"/>
          <w:highlight w:val="yellow"/>
        </w:rPr>
        <w:t xml:space="preserve"> </w:t>
      </w:r>
      <w:commentRangeStart w:id="0"/>
      <w:proofErr w:type="spellStart"/>
      <w:r w:rsidR="00EE0F52" w:rsidRPr="00EE0F52">
        <w:rPr>
          <w:sz w:val="24"/>
          <w:szCs w:val="24"/>
          <w:highlight w:val="yellow"/>
        </w:rPr>
        <w:t>Karlsuss</w:t>
      </w:r>
      <w:commentRangeEnd w:id="0"/>
      <w:proofErr w:type="spellEnd"/>
      <w:r w:rsidR="00EE0F52" w:rsidRPr="00EE0F52">
        <w:rPr>
          <w:rStyle w:val="CommentReference"/>
          <w:highlight w:val="yellow"/>
        </w:rPr>
        <w:commentReference w:id="0"/>
      </w:r>
      <w:r w:rsidR="00EE0F52">
        <w:rPr>
          <w:sz w:val="24"/>
          <w:szCs w:val="24"/>
        </w:rPr>
        <w:t xml:space="preserve"> and</w:t>
      </w:r>
      <w:r>
        <w:rPr>
          <w:sz w:val="24"/>
          <w:szCs w:val="24"/>
        </w:rPr>
        <w:t xml:space="preserve"> Heidelberg 1 or </w:t>
      </w:r>
      <w:proofErr w:type="gramStart"/>
      <w:r>
        <w:rPr>
          <w:sz w:val="24"/>
          <w:szCs w:val="24"/>
        </w:rPr>
        <w:t>2</w:t>
      </w:r>
      <w:r w:rsidR="00230FAF">
        <w:rPr>
          <w:sz w:val="24"/>
          <w:szCs w:val="24"/>
        </w:rPr>
        <w:t>,</w:t>
      </w:r>
      <w:r>
        <w:rPr>
          <w:sz w:val="24"/>
          <w:szCs w:val="24"/>
        </w:rPr>
        <w:t xml:space="preserve"> and</w:t>
      </w:r>
      <w:proofErr w:type="gramEnd"/>
      <w:r>
        <w:rPr>
          <w:sz w:val="24"/>
          <w:szCs w:val="24"/>
        </w:rPr>
        <w:t xml:space="preserve"> developed in DI water and/or isopropanol.</w:t>
      </w:r>
      <w:r w:rsidR="00877575">
        <w:rPr>
          <w:sz w:val="24"/>
          <w:szCs w:val="24"/>
        </w:rPr>
        <w:t xml:space="preserve"> This material poses little contamination risk, especially compared to SU-8 which already has a working protocol of use with the equipment listed.</w:t>
      </w:r>
    </w:p>
    <w:p w14:paraId="733E55C0" w14:textId="37C753BC" w:rsidR="00AE0A9A" w:rsidRDefault="00985DB1">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D89C12C" w14:textId="5478D9D8" w:rsidR="00877575" w:rsidRPr="00877575" w:rsidRDefault="00877575" w:rsidP="00877575">
      <w:pPr>
        <w:ind w:left="360"/>
        <w:rPr>
          <w:sz w:val="24"/>
          <w:szCs w:val="24"/>
        </w:rPr>
      </w:pPr>
      <w:r>
        <w:rPr>
          <w:sz w:val="24"/>
          <w:szCs w:val="24"/>
        </w:rPr>
        <w:t>Chemicals will be used to formulate a new photoresist in house (Guosong Hong lab) outside of SNF and will be brought into SNF in a closed container</w:t>
      </w:r>
      <w:r>
        <w:rPr>
          <w:b/>
          <w:sz w:val="24"/>
          <w:szCs w:val="24"/>
        </w:rPr>
        <w:t xml:space="preserve"> </w:t>
      </w:r>
      <w:r>
        <w:rPr>
          <w:sz w:val="24"/>
          <w:szCs w:val="24"/>
        </w:rPr>
        <w:t>in liquid form</w:t>
      </w:r>
      <w:r w:rsidR="00EE0F52">
        <w:rPr>
          <w:sz w:val="24"/>
          <w:szCs w:val="24"/>
        </w:rPr>
        <w:t xml:space="preserve"> </w:t>
      </w:r>
      <w:commentRangeStart w:id="1"/>
      <w:r w:rsidR="00EE0F52" w:rsidRPr="00EE0F52">
        <w:rPr>
          <w:sz w:val="24"/>
          <w:szCs w:val="24"/>
          <w:highlight w:val="yellow"/>
        </w:rPr>
        <w:t>(&lt; 20 mL</w:t>
      </w:r>
      <w:commentRangeEnd w:id="1"/>
      <w:r w:rsidR="00EE0F52" w:rsidRPr="00EE0F52">
        <w:rPr>
          <w:rStyle w:val="CommentReference"/>
          <w:highlight w:val="yellow"/>
        </w:rPr>
        <w:commentReference w:id="1"/>
      </w:r>
      <w:r w:rsidR="00EE0F52" w:rsidRPr="00EE0F52">
        <w:rPr>
          <w:sz w:val="24"/>
          <w:szCs w:val="24"/>
          <w:highlight w:val="yellow"/>
        </w:rPr>
        <w:t>).</w:t>
      </w:r>
    </w:p>
    <w:p w14:paraId="396C9FFC" w14:textId="4DFEA842" w:rsidR="00AE0A9A" w:rsidRDefault="00985DB1">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3">
        <w:r>
          <w:rPr>
            <w:color w:val="0000FF"/>
            <w:sz w:val="24"/>
            <w:szCs w:val="24"/>
            <w:u w:val="single"/>
          </w:rPr>
          <w:t>Storage groups</w:t>
        </w:r>
      </w:hyperlink>
      <w:r>
        <w:rPr>
          <w:sz w:val="24"/>
          <w:szCs w:val="24"/>
        </w:rPr>
        <w:t xml:space="preserve"> A, B, D and L are stored in the yellow solvent cabinet in the furnace support area, while </w:t>
      </w:r>
      <w:hyperlink r:id="rId14">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w:t>
      </w:r>
    </w:p>
    <w:p w14:paraId="4C8B710C" w14:textId="06A9397B" w:rsidR="001F15E0" w:rsidRDefault="001F15E0" w:rsidP="001F15E0">
      <w:pPr>
        <w:rPr>
          <w:sz w:val="24"/>
          <w:szCs w:val="24"/>
        </w:rPr>
      </w:pPr>
      <w:r>
        <w:rPr>
          <w:sz w:val="24"/>
          <w:szCs w:val="24"/>
        </w:rPr>
        <w:t xml:space="preserve">Chemicals will be stored in the Hong lab during spring 2021 for the E241 course. After the completion of the course, chemicals will be stored in SNF. </w:t>
      </w:r>
    </w:p>
    <w:p w14:paraId="17425C7E" w14:textId="250EE120" w:rsidR="00AE0A9A" w:rsidRDefault="00985DB1">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5">
        <w:r>
          <w:rPr>
            <w:color w:val="0000FF"/>
            <w:sz w:val="24"/>
            <w:szCs w:val="24"/>
            <w:u w:val="single"/>
          </w:rPr>
          <w:t>SNF Lab members Safety Manual</w:t>
        </w:r>
      </w:hyperlink>
      <w:r>
        <w:rPr>
          <w:sz w:val="24"/>
          <w:szCs w:val="24"/>
        </w:rPr>
        <w:t xml:space="preserve"> for the different methods of waste disposal that are available in the lab. </w:t>
      </w:r>
    </w:p>
    <w:p w14:paraId="46DF605E" w14:textId="06FB8653" w:rsidR="001F15E0" w:rsidRDefault="00877575" w:rsidP="001F15E0">
      <w:pPr>
        <w:pBdr>
          <w:bottom w:val="single" w:sz="12" w:space="1" w:color="000000"/>
        </w:pBdr>
        <w:rPr>
          <w:sz w:val="24"/>
          <w:szCs w:val="24"/>
        </w:rPr>
      </w:pPr>
      <w:r>
        <w:rPr>
          <w:sz w:val="24"/>
          <w:szCs w:val="24"/>
        </w:rPr>
        <w:t xml:space="preserve">Excess chemical during spin coating will be disposed in the Ziploc bags provided by SNF and in the sealed garbage container next to the Headway. Because NIPAM is hazardous, excess beyond that associated with spin coating will be labeled and disposed in the hazardous waste bin near the </w:t>
      </w:r>
      <w:proofErr w:type="spellStart"/>
      <w:r>
        <w:rPr>
          <w:sz w:val="24"/>
          <w:szCs w:val="24"/>
        </w:rPr>
        <w:t>lithosolv</w:t>
      </w:r>
      <w:proofErr w:type="spellEnd"/>
      <w:r>
        <w:rPr>
          <w:sz w:val="24"/>
          <w:szCs w:val="24"/>
        </w:rPr>
        <w:t xml:space="preserve"> bench.</w:t>
      </w:r>
    </w:p>
    <w:p w14:paraId="2100225F" w14:textId="77777777" w:rsidR="001F15E0" w:rsidRDefault="001F15E0" w:rsidP="001F15E0">
      <w:pPr>
        <w:pBdr>
          <w:bottom w:val="single" w:sz="12" w:space="1" w:color="000000"/>
        </w:pBdr>
        <w:rPr>
          <w:sz w:val="24"/>
          <w:szCs w:val="24"/>
        </w:rPr>
      </w:pPr>
    </w:p>
    <w:p w14:paraId="67E30E5C" w14:textId="77777777" w:rsidR="00AE0A9A" w:rsidRDefault="00AE0A9A">
      <w:pPr>
        <w:rPr>
          <w:rFonts w:ascii="Times New Roman" w:eastAsia="Times New Roman" w:hAnsi="Times New Roman" w:cs="Times New Roman"/>
          <w:sz w:val="24"/>
          <w:szCs w:val="24"/>
        </w:rPr>
      </w:pPr>
    </w:p>
    <w:p w14:paraId="0CAACF4B" w14:textId="77777777" w:rsidR="00AE0A9A" w:rsidRDefault="00985DB1">
      <w:pPr>
        <w:rPr>
          <w:sz w:val="24"/>
          <w:szCs w:val="24"/>
        </w:rPr>
      </w:pPr>
      <w:r>
        <w:rPr>
          <w:b/>
          <w:sz w:val="24"/>
          <w:szCs w:val="24"/>
        </w:rPr>
        <w:t>To be completed by the PROM COMMITTEE:</w:t>
      </w:r>
    </w:p>
    <w:p w14:paraId="0FDF2AFE" w14:textId="77777777" w:rsidR="00AE0A9A" w:rsidRDefault="00985DB1">
      <w:pPr>
        <w:rPr>
          <w:sz w:val="24"/>
          <w:szCs w:val="24"/>
        </w:rPr>
      </w:pPr>
      <w:r>
        <w:rPr>
          <w:sz w:val="24"/>
          <w:szCs w:val="24"/>
        </w:rPr>
        <w:t>Special handling requirements:</w:t>
      </w:r>
    </w:p>
    <w:p w14:paraId="7F811555" w14:textId="77777777" w:rsidR="00AE0A9A" w:rsidRDefault="00AE0A9A">
      <w:pPr>
        <w:rPr>
          <w:sz w:val="24"/>
          <w:szCs w:val="24"/>
        </w:rPr>
      </w:pPr>
    </w:p>
    <w:p w14:paraId="161C4D86" w14:textId="77777777" w:rsidR="00AE0A9A" w:rsidRDefault="00985DB1">
      <w:pPr>
        <w:rPr>
          <w:sz w:val="24"/>
          <w:szCs w:val="24"/>
        </w:rPr>
      </w:pPr>
      <w:r>
        <w:rPr>
          <w:sz w:val="24"/>
          <w:szCs w:val="24"/>
        </w:rPr>
        <w:t>On-going approval or staff interaction requirements:</w:t>
      </w:r>
    </w:p>
    <w:p w14:paraId="56D6DA08" w14:textId="77777777" w:rsidR="00AE0A9A" w:rsidRDefault="00AE0A9A">
      <w:pPr>
        <w:rPr>
          <w:rFonts w:ascii="Times New Roman" w:eastAsia="Times New Roman" w:hAnsi="Times New Roman" w:cs="Times New Roman"/>
          <w:sz w:val="24"/>
          <w:szCs w:val="24"/>
        </w:rPr>
      </w:pPr>
    </w:p>
    <w:p w14:paraId="0B774245" w14:textId="77777777" w:rsidR="00AE0A9A" w:rsidRDefault="00985DB1">
      <w:pPr>
        <w:rPr>
          <w:rFonts w:ascii="Times New Roman" w:eastAsia="Times New Roman" w:hAnsi="Times New Roman" w:cs="Times New Roman"/>
          <w:sz w:val="24"/>
          <w:szCs w:val="24"/>
        </w:rPr>
      </w:pPr>
      <w:r>
        <w:rPr>
          <w:sz w:val="24"/>
          <w:szCs w:val="24"/>
        </w:rPr>
        <w:t>Approved By/Date:</w:t>
      </w:r>
    </w:p>
    <w:sectPr w:rsidR="00AE0A9A">
      <w:headerReference w:type="default" r:id="rId16"/>
      <w:footerReference w:type="default" r:id="rId17"/>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Paul Chong" w:date="2021-04-22T09:31:00Z" w:initials="PC">
    <w:p w14:paraId="3EEAEED1" w14:textId="3B5BDF3B" w:rsidR="00EE0F52" w:rsidRDefault="00EE0F52">
      <w:pPr>
        <w:pStyle w:val="CommentText"/>
      </w:pPr>
      <w:r>
        <w:rPr>
          <w:rStyle w:val="CommentReference"/>
        </w:rPr>
        <w:annotationRef/>
      </w:r>
      <w:r>
        <w:t xml:space="preserve">Initial testing on </w:t>
      </w:r>
      <w:proofErr w:type="spellStart"/>
      <w:r>
        <w:t>Karlsuss</w:t>
      </w:r>
      <w:proofErr w:type="spellEnd"/>
      <w:r>
        <w:t xml:space="preserve"> before Heidelberg</w:t>
      </w:r>
    </w:p>
  </w:comment>
  <w:comment w:id="1" w:author="Paul Chong" w:date="2021-04-22T09:31:00Z" w:initials="PC">
    <w:p w14:paraId="4E8FB060" w14:textId="7899D1E1" w:rsidR="00EE0F52" w:rsidRDefault="00EE0F52">
      <w:pPr>
        <w:pStyle w:val="CommentText"/>
      </w:pPr>
      <w:r>
        <w:rPr>
          <w:rStyle w:val="CommentReference"/>
        </w:rPr>
        <w:annotationRef/>
      </w:r>
      <w:r>
        <w:t>Resist will be pre-mixed and ready to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EEAEED1" w15:done="0"/>
  <w15:commentEx w15:paraId="4E8FB0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2BC0E8" w16cex:dateUtc="2021-04-22T16:31:00Z"/>
  <w16cex:commentExtensible w16cex:durableId="242BC106" w16cex:dateUtc="2021-04-22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EEAEED1" w16cid:durableId="242BC0E8"/>
  <w16cid:commentId w16cid:paraId="4E8FB060" w16cid:durableId="242BC1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59A496" w14:textId="77777777" w:rsidR="009C24E4" w:rsidRDefault="009C24E4">
      <w:pPr>
        <w:spacing w:after="0" w:line="240" w:lineRule="auto"/>
      </w:pPr>
      <w:r>
        <w:separator/>
      </w:r>
    </w:p>
  </w:endnote>
  <w:endnote w:type="continuationSeparator" w:id="0">
    <w:p w14:paraId="3132E72A" w14:textId="77777777" w:rsidR="009C24E4" w:rsidRDefault="009C2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9536C5" w14:textId="77777777" w:rsidR="00AE0A9A" w:rsidRDefault="00985DB1">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9308CD">
      <w:rPr>
        <w:noProof/>
        <w:color w:val="000000"/>
      </w:rPr>
      <w:t>1</w:t>
    </w:r>
    <w:r>
      <w:rPr>
        <w:color w:val="000000"/>
      </w:rPr>
      <w:fldChar w:fldCharType="end"/>
    </w:r>
  </w:p>
  <w:p w14:paraId="6A62DC49" w14:textId="77777777" w:rsidR="00AE0A9A" w:rsidRDefault="00985DB1">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753BA9" w14:textId="77777777" w:rsidR="009C24E4" w:rsidRDefault="009C24E4">
      <w:pPr>
        <w:spacing w:after="0" w:line="240" w:lineRule="auto"/>
      </w:pPr>
      <w:r>
        <w:separator/>
      </w:r>
    </w:p>
  </w:footnote>
  <w:footnote w:type="continuationSeparator" w:id="0">
    <w:p w14:paraId="51CD6592" w14:textId="77777777" w:rsidR="009C24E4" w:rsidRDefault="009C2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376CCD" w14:textId="77777777" w:rsidR="00AE0A9A" w:rsidRDefault="00985DB1">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4B0AF515" wp14:editId="7E690F60">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5555D1AF" w14:textId="77777777" w:rsidR="00AE0A9A" w:rsidRDefault="00AE0A9A">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D3641"/>
    <w:multiLevelType w:val="multilevel"/>
    <w:tmpl w:val="375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84C65"/>
    <w:multiLevelType w:val="multilevel"/>
    <w:tmpl w:val="1478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739B6"/>
    <w:multiLevelType w:val="multilevel"/>
    <w:tmpl w:val="59D8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F2C94"/>
    <w:multiLevelType w:val="multilevel"/>
    <w:tmpl w:val="AE7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613D6"/>
    <w:multiLevelType w:val="multilevel"/>
    <w:tmpl w:val="557867D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5" w15:restartNumberingAfterBreak="0">
    <w:nsid w:val="466F5376"/>
    <w:multiLevelType w:val="multilevel"/>
    <w:tmpl w:val="2FB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A3BC1"/>
    <w:multiLevelType w:val="multilevel"/>
    <w:tmpl w:val="11C2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6"/>
  </w:num>
  <w:num w:numId="5">
    <w:abstractNumId w:val="5"/>
  </w:num>
  <w:num w:numId="6">
    <w:abstractNumId w:val="2"/>
  </w:num>
  <w:num w:numId="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aul Chong">
    <w15:presenceInfo w15:providerId="AD" w15:userId="S::pxc@stanford.edu::0a304304-5432-408b-b061-45557dcfaf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spelling="clean" w:grammar="clean"/>
  <w:revisionView w:markup="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9A"/>
    <w:rsid w:val="00136EF7"/>
    <w:rsid w:val="001F15E0"/>
    <w:rsid w:val="00230FAF"/>
    <w:rsid w:val="00431131"/>
    <w:rsid w:val="0050615D"/>
    <w:rsid w:val="0058147C"/>
    <w:rsid w:val="00812DF2"/>
    <w:rsid w:val="00877575"/>
    <w:rsid w:val="009308CD"/>
    <w:rsid w:val="00985DB1"/>
    <w:rsid w:val="009C24E4"/>
    <w:rsid w:val="00A90936"/>
    <w:rsid w:val="00AE0A9A"/>
    <w:rsid w:val="00CC76B0"/>
    <w:rsid w:val="00CE5558"/>
    <w:rsid w:val="00DF63CD"/>
    <w:rsid w:val="00EE0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2D36A"/>
  <w15:docId w15:val="{143FC79D-85F0-774D-8273-AF4969F15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CE5558"/>
    <w:pPr>
      <w:widowControl/>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5E0"/>
    <w:pPr>
      <w:ind w:left="720"/>
      <w:contextualSpacing/>
    </w:pPr>
  </w:style>
  <w:style w:type="character" w:styleId="CommentReference">
    <w:name w:val="annotation reference"/>
    <w:basedOn w:val="DefaultParagraphFont"/>
    <w:uiPriority w:val="99"/>
    <w:semiHidden/>
    <w:unhideWhenUsed/>
    <w:rsid w:val="00EE0F52"/>
    <w:rPr>
      <w:sz w:val="16"/>
      <w:szCs w:val="16"/>
    </w:rPr>
  </w:style>
  <w:style w:type="paragraph" w:styleId="CommentText">
    <w:name w:val="annotation text"/>
    <w:basedOn w:val="Normal"/>
    <w:link w:val="CommentTextChar"/>
    <w:uiPriority w:val="99"/>
    <w:semiHidden/>
    <w:unhideWhenUsed/>
    <w:rsid w:val="00EE0F52"/>
    <w:pPr>
      <w:spacing w:line="240" w:lineRule="auto"/>
    </w:pPr>
    <w:rPr>
      <w:sz w:val="20"/>
      <w:szCs w:val="20"/>
    </w:rPr>
  </w:style>
  <w:style w:type="character" w:customStyle="1" w:styleId="CommentTextChar">
    <w:name w:val="Comment Text Char"/>
    <w:basedOn w:val="DefaultParagraphFont"/>
    <w:link w:val="CommentText"/>
    <w:uiPriority w:val="99"/>
    <w:semiHidden/>
    <w:rsid w:val="00EE0F52"/>
    <w:rPr>
      <w:sz w:val="20"/>
      <w:szCs w:val="20"/>
    </w:rPr>
  </w:style>
  <w:style w:type="paragraph" w:styleId="CommentSubject">
    <w:name w:val="annotation subject"/>
    <w:basedOn w:val="CommentText"/>
    <w:next w:val="CommentText"/>
    <w:link w:val="CommentSubjectChar"/>
    <w:uiPriority w:val="99"/>
    <w:semiHidden/>
    <w:unhideWhenUsed/>
    <w:rsid w:val="00EE0F52"/>
    <w:rPr>
      <w:b/>
      <w:bCs/>
    </w:rPr>
  </w:style>
  <w:style w:type="character" w:customStyle="1" w:styleId="CommentSubjectChar">
    <w:name w:val="Comment Subject Char"/>
    <w:basedOn w:val="CommentTextChar"/>
    <w:link w:val="CommentSubject"/>
    <w:uiPriority w:val="99"/>
    <w:semiHidden/>
    <w:rsid w:val="00EE0F52"/>
    <w:rPr>
      <w:b/>
      <w:bCs/>
      <w:sz w:val="20"/>
      <w:szCs w:val="20"/>
    </w:rPr>
  </w:style>
  <w:style w:type="paragraph" w:styleId="BalloonText">
    <w:name w:val="Balloon Text"/>
    <w:basedOn w:val="Normal"/>
    <w:link w:val="BalloonTextChar"/>
    <w:uiPriority w:val="99"/>
    <w:semiHidden/>
    <w:unhideWhenUsed/>
    <w:rsid w:val="00EE0F5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E0F5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1702279">
      <w:bodyDiv w:val="1"/>
      <w:marLeft w:val="0"/>
      <w:marRight w:val="0"/>
      <w:marTop w:val="0"/>
      <w:marBottom w:val="0"/>
      <w:divBdr>
        <w:top w:val="none" w:sz="0" w:space="0" w:color="auto"/>
        <w:left w:val="none" w:sz="0" w:space="0" w:color="auto"/>
        <w:bottom w:val="none" w:sz="0" w:space="0" w:color="auto"/>
        <w:right w:val="none" w:sz="0" w:space="0" w:color="auto"/>
      </w:divBdr>
    </w:div>
    <w:div w:id="806045848">
      <w:bodyDiv w:val="1"/>
      <w:marLeft w:val="0"/>
      <w:marRight w:val="0"/>
      <w:marTop w:val="0"/>
      <w:marBottom w:val="0"/>
      <w:divBdr>
        <w:top w:val="none" w:sz="0" w:space="0" w:color="auto"/>
        <w:left w:val="none" w:sz="0" w:space="0" w:color="auto"/>
        <w:bottom w:val="none" w:sz="0" w:space="0" w:color="auto"/>
        <w:right w:val="none" w:sz="0" w:space="0" w:color="auto"/>
      </w:divBdr>
    </w:div>
    <w:div w:id="1442456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hyperlink" Target="https://ehs.stanford.edu/forms-tools/stanford-storage-group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nf.stanford.edu/labmembers/ManualII.pdf"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ehs.stanford.edu/forms-tools/stanford-storage-group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3EB68E48-2F16-5E46-94D4-1EBBC24ED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Chong</cp:lastModifiedBy>
  <cp:revision>2</cp:revision>
  <dcterms:created xsi:type="dcterms:W3CDTF">2021-04-22T16:43:00Z</dcterms:created>
  <dcterms:modified xsi:type="dcterms:W3CDTF">2021-04-22T16:43:00Z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http://www.zotero.org/styles/journal-of-the-american-chemical-society</vt:lpwstr>
  </property>
  <property fmtid="{D5CDD505-2E9C-101B-9397-08002B2CF9AE}" pid="17" name="Mendeley Recent Style Name 7_1">
    <vt:lpwstr>Journal of the American Chemical Society</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http://www.zotero.org/styles/journal-of-the-american-chemical-society</vt:lpwstr>
  </property>
  <property fmtid="{D5CDD505-2E9C-101B-9397-08002B2CF9AE}" pid="24" name="Mendeley Unique User Id_1">
    <vt:lpwstr>30e2a11e-d8cc-3690-afc1-e6afdb900cc8</vt:lpwstr>
  </property>
</Properties>
</file>