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E7152" w14:textId="6F8E4143" w:rsidR="00322975" w:rsidRDefault="001656DA">
      <w:pPr>
        <w:rPr>
          <w:rFonts w:ascii="Times New Roman" w:eastAsia="Times New Roman" w:hAnsi="Times New Roman" w:cs="Times New Roman"/>
          <w:sz w:val="24"/>
          <w:szCs w:val="24"/>
        </w:rPr>
      </w:pPr>
      <w:r>
        <w:rPr>
          <w:b/>
          <w:sz w:val="24"/>
          <w:szCs w:val="24"/>
        </w:rPr>
        <w:t xml:space="preserve">Request Title:  </w:t>
      </w:r>
      <w:r w:rsidR="006A0A29" w:rsidRPr="00665DE4">
        <w:rPr>
          <w:b/>
          <w:color w:val="00B050"/>
          <w:sz w:val="24"/>
          <w:szCs w:val="24"/>
        </w:rPr>
        <w:t>25% TMAH Etching at WBFlexCorr</w:t>
      </w:r>
      <w:r w:rsidRPr="006A0A29">
        <w:rPr>
          <w:b/>
          <w:color w:val="FF0000"/>
          <w:sz w:val="24"/>
          <w:szCs w:val="24"/>
        </w:rPr>
        <w:tab/>
      </w:r>
      <w:r>
        <w:rPr>
          <w:b/>
          <w:sz w:val="24"/>
          <w:szCs w:val="24"/>
        </w:rPr>
        <w:tab/>
      </w:r>
      <w:r>
        <w:rPr>
          <w:b/>
          <w:sz w:val="24"/>
          <w:szCs w:val="24"/>
        </w:rPr>
        <w:tab/>
      </w:r>
    </w:p>
    <w:p w14:paraId="18DACD25" w14:textId="0E2D67BD" w:rsidR="00665DE4" w:rsidRDefault="001656DA">
      <w:pPr>
        <w:rPr>
          <w:rFonts w:ascii="Times New Roman" w:eastAsia="Times New Roman" w:hAnsi="Times New Roman" w:cs="Times New Roman"/>
          <w:b/>
          <w:sz w:val="24"/>
          <w:szCs w:val="24"/>
        </w:rPr>
      </w:pPr>
      <w:r>
        <w:rPr>
          <w:b/>
          <w:sz w:val="24"/>
          <w:szCs w:val="24"/>
        </w:rPr>
        <w:t xml:space="preserve">Requestor: </w:t>
      </w:r>
      <w:r>
        <w:rPr>
          <w:rFonts w:ascii="Times New Roman" w:eastAsia="Times New Roman" w:hAnsi="Times New Roman" w:cs="Times New Roman"/>
          <w:b/>
          <w:sz w:val="24"/>
          <w:szCs w:val="24"/>
        </w:rPr>
        <w:tab/>
      </w:r>
      <w:r w:rsidR="00CB734E">
        <w:rPr>
          <w:rFonts w:ascii="Times New Roman" w:eastAsia="Times New Roman" w:hAnsi="Times New Roman" w:cs="Times New Roman"/>
          <w:b/>
          <w:color w:val="00B050"/>
          <w:sz w:val="24"/>
          <w:szCs w:val="24"/>
        </w:rPr>
        <w:t>Xinyi Wen</w:t>
      </w:r>
      <w:r w:rsidRPr="00665DE4">
        <w:rPr>
          <w:rFonts w:ascii="Times New Roman" w:eastAsia="Times New Roman" w:hAnsi="Times New Roman" w:cs="Times New Roman"/>
          <w:b/>
          <w:color w:val="00B050"/>
          <w:sz w:val="24"/>
          <w:szCs w:val="24"/>
        </w:rPr>
        <w:tab/>
      </w:r>
      <w:r w:rsidRPr="00665DE4">
        <w:rPr>
          <w:rFonts w:ascii="Times New Roman" w:eastAsia="Times New Roman" w:hAnsi="Times New Roman" w:cs="Times New Roman"/>
          <w:b/>
          <w:color w:val="00B050"/>
          <w:sz w:val="24"/>
          <w:szCs w:val="24"/>
        </w:rPr>
        <w:tab/>
      </w:r>
      <w:r>
        <w:rPr>
          <w:rFonts w:ascii="Times New Roman" w:eastAsia="Times New Roman" w:hAnsi="Times New Roman" w:cs="Times New Roman"/>
          <w:b/>
          <w:sz w:val="24"/>
          <w:szCs w:val="24"/>
        </w:rPr>
        <w:tab/>
      </w:r>
    </w:p>
    <w:p w14:paraId="693E319A" w14:textId="4DE9B9E9" w:rsidR="00322975" w:rsidRPr="00665DE4" w:rsidRDefault="001656DA">
      <w:pPr>
        <w:rPr>
          <w:rFonts w:ascii="Times New Roman" w:eastAsia="Times New Roman" w:hAnsi="Times New Roman" w:cs="Times New Roman"/>
          <w:b/>
          <w:sz w:val="24"/>
          <w:szCs w:val="24"/>
        </w:rPr>
      </w:pPr>
      <w:r>
        <w:rPr>
          <w:b/>
          <w:sz w:val="24"/>
          <w:szCs w:val="24"/>
        </w:rPr>
        <w:t xml:space="preserve">Date:  </w:t>
      </w:r>
      <w:r w:rsidR="00665DE4" w:rsidRPr="00665DE4">
        <w:rPr>
          <w:b/>
          <w:color w:val="00B050"/>
          <w:sz w:val="24"/>
          <w:szCs w:val="24"/>
        </w:rPr>
        <w:t>1</w:t>
      </w:r>
      <w:r w:rsidR="00CB734E">
        <w:rPr>
          <w:b/>
          <w:color w:val="00B050"/>
          <w:sz w:val="24"/>
          <w:szCs w:val="24"/>
        </w:rPr>
        <w:t>4</w:t>
      </w:r>
      <w:r w:rsidR="00665DE4" w:rsidRPr="00665DE4">
        <w:rPr>
          <w:rFonts w:ascii="Malgun Gothic" w:eastAsia="Malgun Gothic" w:hAnsi="Malgun Gothic" w:cs="Malgun Gothic" w:hint="eastAsia"/>
          <w:b/>
          <w:color w:val="00B050"/>
          <w:sz w:val="24"/>
          <w:szCs w:val="24"/>
          <w:vertAlign w:val="superscript"/>
        </w:rPr>
        <w:t>t</w:t>
      </w:r>
      <w:r w:rsidR="00665DE4" w:rsidRPr="00665DE4">
        <w:rPr>
          <w:rFonts w:ascii="Malgun Gothic" w:eastAsia="Malgun Gothic" w:hAnsi="Malgun Gothic" w:cs="Malgun Gothic"/>
          <w:b/>
          <w:color w:val="00B050"/>
          <w:sz w:val="24"/>
          <w:szCs w:val="24"/>
          <w:vertAlign w:val="superscript"/>
        </w:rPr>
        <w:t xml:space="preserve">h </w:t>
      </w:r>
      <w:r w:rsidR="00665DE4" w:rsidRPr="00665DE4">
        <w:rPr>
          <w:rFonts w:ascii="Times New Roman" w:eastAsia="Times New Roman" w:hAnsi="Times New Roman" w:cs="Times New Roman"/>
          <w:b/>
          <w:color w:val="00B050"/>
          <w:sz w:val="24"/>
          <w:szCs w:val="24"/>
        </w:rPr>
        <w:t xml:space="preserve">of </w:t>
      </w:r>
      <w:r w:rsidR="00CB734E">
        <w:rPr>
          <w:rFonts w:ascii="Times New Roman" w:eastAsia="Times New Roman" w:hAnsi="Times New Roman" w:cs="Times New Roman"/>
          <w:b/>
          <w:color w:val="00B050"/>
          <w:sz w:val="24"/>
          <w:szCs w:val="24"/>
        </w:rPr>
        <w:t>October</w:t>
      </w:r>
      <w:r w:rsidR="00665DE4" w:rsidRPr="00665DE4">
        <w:rPr>
          <w:rFonts w:ascii="Times New Roman" w:eastAsia="Times New Roman" w:hAnsi="Times New Roman" w:cs="Times New Roman"/>
          <w:b/>
          <w:color w:val="00B050"/>
          <w:sz w:val="24"/>
          <w:szCs w:val="24"/>
        </w:rPr>
        <w:t>, 2021</w:t>
      </w:r>
    </w:p>
    <w:p w14:paraId="1201C07B" w14:textId="77777777" w:rsidR="00322975" w:rsidRDefault="001656DA">
      <w:pPr>
        <w:rPr>
          <w:sz w:val="24"/>
          <w:szCs w:val="24"/>
        </w:rPr>
      </w:pPr>
      <w:r>
        <w:rPr>
          <w:b/>
          <w:sz w:val="24"/>
          <w:szCs w:val="24"/>
        </w:rPr>
        <w:t>Non-SNF staff, please complete the following:</w:t>
      </w:r>
    </w:p>
    <w:p w14:paraId="6841F8DC" w14:textId="78C27F2E" w:rsidR="00322975" w:rsidRPr="00665DE4" w:rsidRDefault="001656DA">
      <w:pPr>
        <w:rPr>
          <w:b/>
          <w:sz w:val="24"/>
          <w:szCs w:val="24"/>
        </w:rPr>
      </w:pPr>
      <w:r>
        <w:rPr>
          <w:b/>
          <w:sz w:val="24"/>
          <w:szCs w:val="24"/>
        </w:rPr>
        <w:t>Badger ID:</w:t>
      </w:r>
      <w:r w:rsidR="00665DE4">
        <w:rPr>
          <w:b/>
          <w:sz w:val="24"/>
          <w:szCs w:val="24"/>
        </w:rPr>
        <w:t xml:space="preserve"> </w:t>
      </w:r>
      <w:r w:rsidR="00CB734E">
        <w:rPr>
          <w:rStyle w:val="Hyperlink"/>
          <w:b/>
          <w:color w:val="00B050"/>
          <w:sz w:val="24"/>
          <w:szCs w:val="24"/>
        </w:rPr>
        <w:t>xinyiwen@stanford.edu</w:t>
      </w:r>
      <w:r w:rsidR="000D2D6B" w:rsidRPr="000D2D6B">
        <w:rPr>
          <w:b/>
          <w:color w:val="00B050"/>
          <w:sz w:val="24"/>
          <w:szCs w:val="24"/>
        </w:rPr>
        <w:t xml:space="preserve"> </w:t>
      </w:r>
      <w:r w:rsidRPr="000D2D6B">
        <w:rPr>
          <w:b/>
          <w:color w:val="00B050"/>
          <w:sz w:val="24"/>
          <w:szCs w:val="24"/>
        </w:rPr>
        <w:tab/>
      </w:r>
      <w:r>
        <w:rPr>
          <w:b/>
          <w:sz w:val="24"/>
          <w:szCs w:val="24"/>
        </w:rPr>
        <w:tab/>
      </w:r>
    </w:p>
    <w:p w14:paraId="45F50961" w14:textId="64676FF8" w:rsidR="00322975" w:rsidRDefault="001656DA">
      <w:pPr>
        <w:rPr>
          <w:sz w:val="24"/>
          <w:szCs w:val="24"/>
        </w:rPr>
      </w:pPr>
      <w:r>
        <w:rPr>
          <w:b/>
          <w:sz w:val="24"/>
          <w:szCs w:val="24"/>
        </w:rPr>
        <w:t xml:space="preserve">Company name/PI: </w:t>
      </w:r>
      <w:r w:rsidR="00665DE4" w:rsidRPr="000D2D6B">
        <w:rPr>
          <w:b/>
          <w:color w:val="00B050"/>
          <w:sz w:val="24"/>
          <w:szCs w:val="24"/>
        </w:rPr>
        <w:t>Srabanti Chowdhury (</w:t>
      </w:r>
      <w:hyperlink r:id="rId7" w:history="1">
        <w:r w:rsidR="00665DE4" w:rsidRPr="000D2D6B">
          <w:rPr>
            <w:rStyle w:val="Hyperlink"/>
            <w:b/>
            <w:color w:val="00B050"/>
            <w:sz w:val="24"/>
            <w:szCs w:val="24"/>
          </w:rPr>
          <w:t>srabanti@stanford.edu</w:t>
        </w:r>
      </w:hyperlink>
      <w:r w:rsidR="00665DE4" w:rsidRPr="000D2D6B">
        <w:rPr>
          <w:b/>
          <w:color w:val="00B050"/>
          <w:sz w:val="24"/>
          <w:szCs w:val="24"/>
        </w:rPr>
        <w:t xml:space="preserve"> )</w:t>
      </w:r>
    </w:p>
    <w:p w14:paraId="6475B8EF" w14:textId="77777777" w:rsidR="00322975" w:rsidRDefault="001656DA">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13449BD8" w14:textId="77777777" w:rsidR="00322975" w:rsidRDefault="00322975">
      <w:pPr>
        <w:rPr>
          <w:rFonts w:ascii="Times New Roman" w:eastAsia="Times New Roman" w:hAnsi="Times New Roman" w:cs="Times New Roman"/>
          <w:sz w:val="24"/>
          <w:szCs w:val="24"/>
        </w:rPr>
      </w:pPr>
    </w:p>
    <w:p w14:paraId="10BB8F3E" w14:textId="3B29963B" w:rsidR="000D2D6B" w:rsidRDefault="001656DA" w:rsidP="000D2D6B">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8">
        <w:r>
          <w:rPr>
            <w:rFonts w:eastAsia="Calibri"/>
            <w:color w:val="0000FF"/>
            <w:sz w:val="24"/>
            <w:szCs w:val="24"/>
            <w:u w:val="single"/>
          </w:rPr>
          <w:t>Stanford Chemical Storage Groups</w:t>
        </w:r>
      </w:hyperlink>
      <w:r>
        <w:rPr>
          <w:sz w:val="24"/>
          <w:szCs w:val="24"/>
        </w:rPr>
        <w:t xml:space="preserve"> to determine the </w:t>
      </w:r>
      <w:r>
        <w:rPr>
          <w:rFonts w:eastAsia="Calibri"/>
          <w:sz w:val="24"/>
          <w:szCs w:val="24"/>
        </w:rPr>
        <w:t>Storage Group Identifier</w:t>
      </w:r>
      <w:r>
        <w:rPr>
          <w:sz w:val="24"/>
          <w:szCs w:val="24"/>
        </w:rPr>
        <w:t xml:space="preserve"> and </w:t>
      </w:r>
      <w:r>
        <w:rPr>
          <w:rFonts w:eastAsia="Calibri"/>
          <w:sz w:val="24"/>
          <w:szCs w:val="24"/>
        </w:rPr>
        <w:t>Main Hazard Class</w:t>
      </w:r>
      <w:r>
        <w:rPr>
          <w:sz w:val="24"/>
          <w:szCs w:val="24"/>
        </w:rPr>
        <w:t xml:space="preserve"> of your chemical/material.</w:t>
      </w:r>
      <w:r w:rsidR="000D2D6B">
        <w:rPr>
          <w:sz w:val="24"/>
          <w:szCs w:val="24"/>
        </w:rPr>
        <w:br/>
      </w:r>
      <w:r w:rsidR="000D2D6B">
        <w:rPr>
          <w:sz w:val="24"/>
          <w:szCs w:val="24"/>
        </w:rPr>
        <w:br/>
      </w:r>
      <w:r w:rsidR="000D2D6B" w:rsidRPr="000D2D6B">
        <w:rPr>
          <w:color w:val="00B050"/>
          <w:sz w:val="24"/>
          <w:szCs w:val="24"/>
        </w:rPr>
        <w:t>25% solution in water of Tetramethyl ammonium hydroxide, or TMAH</w:t>
      </w:r>
    </w:p>
    <w:p w14:paraId="45752BAD" w14:textId="77777777" w:rsidR="000D2D6B" w:rsidRPr="000D2D6B" w:rsidRDefault="000D2D6B" w:rsidP="000D2D6B">
      <w:pPr>
        <w:ind w:left="360"/>
        <w:rPr>
          <w:sz w:val="24"/>
          <w:szCs w:val="24"/>
        </w:rPr>
      </w:pPr>
    </w:p>
    <w:p w14:paraId="1657A19E" w14:textId="14D44050" w:rsidR="00322975" w:rsidRDefault="001656DA">
      <w:pPr>
        <w:numPr>
          <w:ilvl w:val="0"/>
          <w:numId w:val="1"/>
        </w:numPr>
        <w:rPr>
          <w:sz w:val="24"/>
          <w:szCs w:val="24"/>
        </w:rPr>
      </w:pPr>
      <w:r>
        <w:rPr>
          <w:b/>
          <w:sz w:val="24"/>
          <w:szCs w:val="24"/>
        </w:rPr>
        <w:t>Vendor/manufacturer info:</w:t>
      </w:r>
      <w:r>
        <w:rPr>
          <w:sz w:val="24"/>
          <w:szCs w:val="24"/>
        </w:rPr>
        <w:t xml:space="preserve"> address and phone number, website URL.</w:t>
      </w:r>
      <w:r w:rsidR="00C235A3">
        <w:rPr>
          <w:sz w:val="24"/>
          <w:szCs w:val="24"/>
        </w:rPr>
        <w:br/>
      </w:r>
      <w:r w:rsidR="00C235A3">
        <w:rPr>
          <w:sz w:val="24"/>
          <w:szCs w:val="24"/>
        </w:rPr>
        <w:br/>
      </w:r>
      <w:r w:rsidR="00C235A3" w:rsidRPr="00C235A3">
        <w:rPr>
          <w:color w:val="00B050"/>
          <w:sz w:val="24"/>
          <w:szCs w:val="24"/>
        </w:rPr>
        <w:t>JT Baker/Avantor, VWR Part number JT5879-3</w:t>
      </w:r>
      <w:r w:rsidR="00C235A3">
        <w:rPr>
          <w:sz w:val="24"/>
          <w:szCs w:val="24"/>
        </w:rPr>
        <w:br/>
      </w:r>
    </w:p>
    <w:p w14:paraId="3ADFDD0D" w14:textId="487EC537" w:rsidR="00322975" w:rsidRDefault="001656DA">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r w:rsidR="00C235A3">
        <w:rPr>
          <w:sz w:val="24"/>
          <w:szCs w:val="24"/>
        </w:rPr>
        <w:br/>
      </w:r>
      <w:r w:rsidR="00C235A3">
        <w:rPr>
          <w:sz w:val="24"/>
          <w:szCs w:val="24"/>
        </w:rPr>
        <w:br/>
      </w:r>
      <w:r w:rsidR="00C235A3" w:rsidRPr="00C235A3">
        <w:rPr>
          <w:color w:val="00B050"/>
          <w:sz w:val="24"/>
          <w:szCs w:val="24"/>
        </w:rPr>
        <w:t xml:space="preserve">Srabanti Chowdhury group uses TMAH for the crystallographic etching of GaN(gallium nitride). It is essential to have a smooth, selectively etched surface of GaN for (1) vertical transistor gate structure and (2) re-growth of GaN on etched GaN surface. KOH, which is a safer substitute can provide similar function, but at the cost of alkali contamination. Since the MOS gate process as well as re-growth in MOCVD chamber is very sensitive to ionic </w:t>
      </w:r>
      <w:r w:rsidR="00C235A3" w:rsidRPr="00C235A3">
        <w:rPr>
          <w:color w:val="00B050"/>
          <w:sz w:val="24"/>
          <w:szCs w:val="24"/>
        </w:rPr>
        <w:lastRenderedPageBreak/>
        <w:t>contamination, it is essential that we have access to TMAH.</w:t>
      </w:r>
      <w:r w:rsidR="00C235A3">
        <w:rPr>
          <w:sz w:val="24"/>
          <w:szCs w:val="24"/>
        </w:rPr>
        <w:br/>
      </w:r>
    </w:p>
    <w:p w14:paraId="038194F5" w14:textId="4EB34F74" w:rsidR="00322975" w:rsidRPr="00B00CDD" w:rsidRDefault="001656DA" w:rsidP="00B00CDD">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rFonts w:eastAsia="Calibri"/>
          <w:b/>
          <w:sz w:val="24"/>
          <w:szCs w:val="24"/>
        </w:rPr>
        <w:t>Lab equipment</w:t>
      </w:r>
      <w:r>
        <w:rPr>
          <w:b/>
          <w:sz w:val="24"/>
          <w:szCs w:val="24"/>
        </w:rPr>
        <w:t xml:space="preserve">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w:t>
      </w:r>
      <w:r>
        <w:rPr>
          <w:rFonts w:eastAsia="Calibri"/>
          <w:sz w:val="24"/>
          <w:szCs w:val="24"/>
        </w:rPr>
        <w:t>"clean"</w:t>
      </w:r>
      <w:r>
        <w:rPr>
          <w:sz w:val="24"/>
          <w:szCs w:val="24"/>
        </w:rPr>
        <w:t xml:space="preserve"> equipment, purity specifications will be needed. This is most important for chemicals/material that are not normally used for VLSI device fabrication. To be allowed into a </w:t>
      </w:r>
      <w:r>
        <w:rPr>
          <w:rFonts w:eastAsia="Calibri"/>
          <w:sz w:val="24"/>
          <w:szCs w:val="24"/>
        </w:rPr>
        <w:t>"clean" tool</w:t>
      </w:r>
      <w:r>
        <w:rPr>
          <w:sz w:val="24"/>
          <w:szCs w:val="24"/>
        </w:rPr>
        <w:t xml:space="preserve">, the material should MOS grade or better. </w:t>
      </w:r>
      <w:r w:rsidR="00754753">
        <w:rPr>
          <w:sz w:val="24"/>
          <w:szCs w:val="24"/>
        </w:rPr>
        <w:br/>
      </w:r>
      <w:r w:rsidR="00754753">
        <w:rPr>
          <w:sz w:val="24"/>
          <w:szCs w:val="24"/>
        </w:rPr>
        <w:br/>
      </w:r>
      <w:r w:rsidR="00754753" w:rsidRPr="00B00CDD">
        <w:rPr>
          <w:color w:val="00B050"/>
          <w:sz w:val="24"/>
          <w:szCs w:val="24"/>
        </w:rPr>
        <w:t>The process flow can be summarized as below. We will use only our group-owned beakers, sample baskets, thermometers rather than the shared apparatus.</w:t>
      </w:r>
      <w:r w:rsidR="00754753" w:rsidRPr="00B00CDD">
        <w:rPr>
          <w:color w:val="00B050"/>
          <w:sz w:val="24"/>
          <w:szCs w:val="24"/>
        </w:rPr>
        <w:br/>
        <w:t xml:space="preserve"> </w:t>
      </w:r>
      <w:r w:rsidR="00754753" w:rsidRPr="00B00CDD">
        <w:rPr>
          <w:color w:val="00B050"/>
          <w:sz w:val="24"/>
          <w:szCs w:val="24"/>
        </w:rPr>
        <w:br/>
        <w:t xml:space="preserve">(a) 25% TMAH is poured in a Pyrex beaker. </w:t>
      </w:r>
      <w:r w:rsidR="00754753" w:rsidRPr="00B00CDD">
        <w:rPr>
          <w:color w:val="00B050"/>
          <w:sz w:val="24"/>
          <w:szCs w:val="24"/>
        </w:rPr>
        <w:br/>
        <w:t>(b) The solution is heated to 80 degree Celsius.</w:t>
      </w:r>
      <w:r w:rsidR="00754753" w:rsidRPr="00B00CDD">
        <w:rPr>
          <w:color w:val="00B050"/>
          <w:sz w:val="24"/>
          <w:szCs w:val="24"/>
        </w:rPr>
        <w:br/>
        <w:t>(c) Our samples placed in Teflon baskets are dipped in the solution.</w:t>
      </w:r>
      <w:r w:rsidR="00754753" w:rsidRPr="00B00CDD">
        <w:rPr>
          <w:color w:val="00B050"/>
          <w:sz w:val="24"/>
          <w:szCs w:val="24"/>
        </w:rPr>
        <w:br/>
        <w:t>(d) The samples go through 30 minutes to 2 hours of crystallographic wet etching.</w:t>
      </w:r>
      <w:r w:rsidR="00754753" w:rsidRPr="00B00CDD">
        <w:rPr>
          <w:color w:val="00B050"/>
          <w:sz w:val="24"/>
          <w:szCs w:val="24"/>
        </w:rPr>
        <w:br/>
        <w:t>(e) The samples are rinsed in water for 30 seconds for 3 times.</w:t>
      </w:r>
      <w:r w:rsidR="00754753" w:rsidRPr="00B00CDD">
        <w:rPr>
          <w:color w:val="00B050"/>
          <w:sz w:val="24"/>
          <w:szCs w:val="24"/>
        </w:rPr>
        <w:br/>
        <w:t>(f) The samples are blow-dried.</w:t>
      </w:r>
      <w:r w:rsidR="00754753" w:rsidRPr="00B00CDD">
        <w:rPr>
          <w:color w:val="00B050"/>
          <w:sz w:val="24"/>
          <w:szCs w:val="24"/>
        </w:rPr>
        <w:br/>
      </w:r>
      <w:r w:rsidR="00754753" w:rsidRPr="00B00CDD">
        <w:rPr>
          <w:color w:val="00B050"/>
          <w:sz w:val="24"/>
          <w:szCs w:val="24"/>
        </w:rPr>
        <w:br/>
        <w:t>After this process, the samples will either go through MOCVD chamber of aix-ccs after RCA cleaning, or go through regular MOSFET process. The tools to be used after this process include headway 2, yes, aja-</w:t>
      </w:r>
      <w:r w:rsidR="00754753" w:rsidRPr="00B00CDD">
        <w:rPr>
          <w:rFonts w:hint="eastAsia"/>
          <w:color w:val="00B050"/>
          <w:sz w:val="24"/>
          <w:szCs w:val="24"/>
        </w:rPr>
        <w:t>e</w:t>
      </w:r>
      <w:r w:rsidR="00754753" w:rsidRPr="00B00CDD">
        <w:rPr>
          <w:color w:val="00B050"/>
          <w:sz w:val="24"/>
          <w:szCs w:val="24"/>
        </w:rPr>
        <w:t>vap, lesker-sputter, Heidelberg, PT-MTL, wbflexcorr, wbflexsolv, Oxford-80 RIE, Dektak Stylus, and FEI Nova SEM.</w:t>
      </w:r>
      <w:r w:rsidR="00B00CDD">
        <w:rPr>
          <w:color w:val="00B050"/>
          <w:sz w:val="24"/>
          <w:szCs w:val="24"/>
        </w:rPr>
        <w:br/>
      </w:r>
      <w:r w:rsidR="00B00CDD">
        <w:rPr>
          <w:color w:val="00B050"/>
          <w:sz w:val="24"/>
          <w:szCs w:val="24"/>
        </w:rPr>
        <w:br/>
        <w:t xml:space="preserve">Our samples do not go into the “clean” equipment except for aix-ccs, but this process will be done under the supervision of the tool staff/superuser. </w:t>
      </w:r>
      <w:r w:rsidR="00B00CDD">
        <w:rPr>
          <w:color w:val="00B050"/>
          <w:sz w:val="24"/>
          <w:szCs w:val="24"/>
        </w:rPr>
        <w:br/>
      </w:r>
    </w:p>
    <w:p w14:paraId="1D3C1EBF" w14:textId="65483B8F" w:rsidR="00322975" w:rsidRDefault="001656DA">
      <w:pPr>
        <w:numPr>
          <w:ilvl w:val="0"/>
          <w:numId w:val="1"/>
        </w:numPr>
        <w:rPr>
          <w:sz w:val="24"/>
          <w:szCs w:val="24"/>
        </w:rPr>
      </w:pPr>
      <w:r>
        <w:rPr>
          <w:b/>
          <w:sz w:val="24"/>
          <w:szCs w:val="24"/>
        </w:rPr>
        <w:t xml:space="preserve">Amount and form. </w:t>
      </w:r>
      <w:r>
        <w:rPr>
          <w:sz w:val="24"/>
          <w:szCs w:val="24"/>
        </w:rPr>
        <w:t xml:space="preserve">How much will you bring in? Is it solid, </w:t>
      </w:r>
      <w:r>
        <w:rPr>
          <w:rFonts w:eastAsia="Calibri"/>
          <w:sz w:val="24"/>
          <w:szCs w:val="24"/>
        </w:rPr>
        <w:t>powder</w:t>
      </w:r>
      <w:r>
        <w:rPr>
          <w:sz w:val="24"/>
          <w:szCs w:val="24"/>
        </w:rPr>
        <w:t xml:space="preserve"> or liquid? (Note: as a general rule, </w:t>
      </w:r>
      <w:r>
        <w:rPr>
          <w:rFonts w:eastAsia="Calibri"/>
          <w:sz w:val="24"/>
          <w:szCs w:val="24"/>
        </w:rPr>
        <w:t>powders</w:t>
      </w:r>
      <w:r>
        <w:rPr>
          <w:sz w:val="24"/>
          <w:szCs w:val="24"/>
        </w:rPr>
        <w:t xml:space="preserve"> are not permitted in the cleanroom.) Do you need to mix it to use it?</w:t>
      </w:r>
      <w:r w:rsidR="00B00CDD">
        <w:rPr>
          <w:sz w:val="24"/>
          <w:szCs w:val="24"/>
        </w:rPr>
        <w:br/>
      </w:r>
      <w:r w:rsidR="00B00CDD">
        <w:rPr>
          <w:sz w:val="24"/>
          <w:szCs w:val="24"/>
        </w:rPr>
        <w:br/>
      </w:r>
      <w:r w:rsidR="00B00CDD" w:rsidRPr="009B4D87">
        <w:rPr>
          <w:color w:val="00B050"/>
          <w:sz w:val="24"/>
          <w:szCs w:val="24"/>
        </w:rPr>
        <w:t xml:space="preserve">In general we need about 400 mL at a time, in the form of liquid. We are not </w:t>
      </w:r>
      <w:r w:rsidR="009B4D87" w:rsidRPr="009B4D87">
        <w:rPr>
          <w:color w:val="00B050"/>
          <w:sz w:val="24"/>
          <w:szCs w:val="24"/>
        </w:rPr>
        <w:t>mixing this solution with anything else.</w:t>
      </w:r>
    </w:p>
    <w:p w14:paraId="1951245D" w14:textId="58ECBDDA" w:rsidR="00B00CDD" w:rsidRDefault="00B00CDD" w:rsidP="00B00CDD">
      <w:pPr>
        <w:rPr>
          <w:sz w:val="24"/>
          <w:szCs w:val="24"/>
        </w:rPr>
      </w:pPr>
    </w:p>
    <w:p w14:paraId="0D3C4BA2" w14:textId="77777777" w:rsidR="00B00CDD" w:rsidRDefault="00B00CDD" w:rsidP="00B00CDD">
      <w:pPr>
        <w:rPr>
          <w:sz w:val="24"/>
          <w:szCs w:val="24"/>
        </w:rPr>
      </w:pPr>
    </w:p>
    <w:p w14:paraId="26745184" w14:textId="3B5342A4" w:rsidR="00322975" w:rsidRDefault="001656DA">
      <w:pPr>
        <w:numPr>
          <w:ilvl w:val="0"/>
          <w:numId w:val="1"/>
        </w:numPr>
        <w:rPr>
          <w:sz w:val="24"/>
          <w:szCs w:val="24"/>
        </w:rPr>
      </w:pPr>
      <w:r>
        <w:rPr>
          <w:b/>
          <w:sz w:val="24"/>
          <w:szCs w:val="24"/>
        </w:rPr>
        <w:lastRenderedPageBreak/>
        <w:t xml:space="preserve">Storage: </w:t>
      </w:r>
      <w:r>
        <w:rPr>
          <w:sz w:val="24"/>
          <w:szCs w:val="24"/>
        </w:rPr>
        <w:t xml:space="preserve">Will you be storing your chemical/material at SNF? If so, please note any potential reactivity’s (this should be on the MSDS). </w:t>
      </w:r>
      <w:hyperlink r:id="rId9">
        <w:r>
          <w:rPr>
            <w:rFonts w:eastAsia="Calibri"/>
            <w:color w:val="0000FF"/>
            <w:sz w:val="24"/>
            <w:szCs w:val="24"/>
            <w:u w:val="single"/>
          </w:rPr>
          <w:t>Storage groups</w:t>
        </w:r>
      </w:hyperlink>
      <w:r>
        <w:rPr>
          <w:sz w:val="24"/>
          <w:szCs w:val="24"/>
        </w:rPr>
        <w:t xml:space="preserve"> A, B, D and L are stored in the yellow solvent cabinet in the furnace support area, while </w:t>
      </w:r>
      <w:hyperlink r:id="rId10">
        <w:r>
          <w:rPr>
            <w:rFonts w:eastAsia="Calibri"/>
            <w:color w:val="0000FF"/>
            <w:sz w:val="24"/>
            <w:szCs w:val="24"/>
            <w:u w:val="single"/>
          </w:rPr>
          <w:t>storage groups</w:t>
        </w:r>
      </w:hyperlink>
      <w:r>
        <w:rPr>
          <w:sz w:val="24"/>
          <w:szCs w:val="24"/>
        </w:rPr>
        <w:t xml:space="preserve"> C, E, F and G are stored on top of one of the Pass-through Carts. Ensure your chemical container or material is </w:t>
      </w:r>
      <w:r>
        <w:rPr>
          <w:rFonts w:eastAsia="Calibri"/>
          <w:sz w:val="24"/>
          <w:szCs w:val="24"/>
        </w:rPr>
        <w:t>properly labeled</w:t>
      </w:r>
      <w:r>
        <w:rPr>
          <w:sz w:val="24"/>
          <w:szCs w:val="24"/>
        </w:rPr>
        <w:t xml:space="preserve">.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r w:rsidR="009841EB">
        <w:rPr>
          <w:sz w:val="24"/>
          <w:szCs w:val="24"/>
        </w:rPr>
        <w:br/>
      </w:r>
      <w:r w:rsidR="009841EB">
        <w:rPr>
          <w:sz w:val="24"/>
          <w:szCs w:val="24"/>
        </w:rPr>
        <w:br/>
      </w:r>
      <w:r w:rsidR="009841EB" w:rsidRPr="009841EB">
        <w:rPr>
          <w:color w:val="00B050"/>
          <w:sz w:val="24"/>
          <w:szCs w:val="24"/>
        </w:rPr>
        <w:t>We expect the TMAH solution to be stored and provided by SNF.</w:t>
      </w:r>
      <w:r w:rsidR="009841EB">
        <w:rPr>
          <w:sz w:val="24"/>
          <w:szCs w:val="24"/>
        </w:rPr>
        <w:br/>
      </w:r>
    </w:p>
    <w:p w14:paraId="5767FD68" w14:textId="3FD23B4C" w:rsidR="00322975" w:rsidRDefault="001656DA">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Pr>
            <w:rFonts w:eastAsia="Calibri"/>
            <w:color w:val="0000FF"/>
            <w:sz w:val="24"/>
            <w:szCs w:val="24"/>
            <w:u w:val="single"/>
          </w:rPr>
          <w:t>SNF Lab members Safety Manual</w:t>
        </w:r>
      </w:hyperlink>
      <w:r>
        <w:rPr>
          <w:sz w:val="24"/>
          <w:szCs w:val="24"/>
        </w:rPr>
        <w:t xml:space="preserve"> for the different methods of waste disposal that are available in the lab. </w:t>
      </w:r>
      <w:r w:rsidR="009841EB">
        <w:rPr>
          <w:sz w:val="24"/>
          <w:szCs w:val="24"/>
        </w:rPr>
        <w:br/>
      </w:r>
      <w:r w:rsidR="009841EB">
        <w:rPr>
          <w:sz w:val="24"/>
          <w:szCs w:val="24"/>
        </w:rPr>
        <w:br/>
      </w:r>
      <w:r w:rsidR="009841EB" w:rsidRPr="009841EB">
        <w:rPr>
          <w:color w:val="00B050"/>
          <w:sz w:val="24"/>
          <w:szCs w:val="24"/>
        </w:rPr>
        <w:t>We will dispose of TMAH waste following the SNF’s protocol.</w:t>
      </w:r>
      <w:r w:rsidR="009841EB">
        <w:rPr>
          <w:sz w:val="24"/>
          <w:szCs w:val="24"/>
        </w:rPr>
        <w:br/>
      </w:r>
    </w:p>
    <w:p w14:paraId="4B71716C" w14:textId="77777777" w:rsidR="00322975" w:rsidRDefault="00322975">
      <w:pPr>
        <w:rPr>
          <w:rFonts w:ascii="Times New Roman" w:eastAsia="Times New Roman" w:hAnsi="Times New Roman" w:cs="Times New Roman"/>
          <w:sz w:val="24"/>
          <w:szCs w:val="24"/>
        </w:rPr>
      </w:pPr>
    </w:p>
    <w:p w14:paraId="5A1912A0" w14:textId="77777777" w:rsidR="00322975" w:rsidRDefault="001656DA">
      <w:pPr>
        <w:rPr>
          <w:sz w:val="24"/>
          <w:szCs w:val="24"/>
        </w:rPr>
      </w:pPr>
      <w:r>
        <w:rPr>
          <w:b/>
          <w:sz w:val="24"/>
          <w:szCs w:val="24"/>
        </w:rPr>
        <w:t>To be completed by the PROM COMMITTEE:</w:t>
      </w:r>
    </w:p>
    <w:p w14:paraId="0EEC6E87" w14:textId="77777777" w:rsidR="00322975" w:rsidRDefault="001656DA">
      <w:pPr>
        <w:rPr>
          <w:sz w:val="24"/>
          <w:szCs w:val="24"/>
        </w:rPr>
      </w:pPr>
      <w:r>
        <w:rPr>
          <w:sz w:val="24"/>
          <w:szCs w:val="24"/>
        </w:rPr>
        <w:t>Special handling requirements:</w:t>
      </w:r>
    </w:p>
    <w:p w14:paraId="1F58E1D3" w14:textId="77777777" w:rsidR="00322975" w:rsidRDefault="00322975">
      <w:pPr>
        <w:rPr>
          <w:sz w:val="24"/>
          <w:szCs w:val="24"/>
        </w:rPr>
      </w:pPr>
    </w:p>
    <w:p w14:paraId="2FDC18A5" w14:textId="77777777" w:rsidR="00322975" w:rsidRDefault="001656DA">
      <w:pPr>
        <w:rPr>
          <w:sz w:val="24"/>
          <w:szCs w:val="24"/>
        </w:rPr>
      </w:pPr>
      <w:r>
        <w:rPr>
          <w:sz w:val="24"/>
          <w:szCs w:val="24"/>
        </w:rPr>
        <w:t>On-going approval or staff interaction requirements:</w:t>
      </w:r>
    </w:p>
    <w:p w14:paraId="29AA463D" w14:textId="77777777" w:rsidR="00322975" w:rsidRDefault="00322975">
      <w:pPr>
        <w:rPr>
          <w:rFonts w:ascii="Times New Roman" w:eastAsia="Times New Roman" w:hAnsi="Times New Roman" w:cs="Times New Roman"/>
          <w:sz w:val="24"/>
          <w:szCs w:val="24"/>
        </w:rPr>
      </w:pPr>
    </w:p>
    <w:p w14:paraId="045552E7" w14:textId="77777777" w:rsidR="00322975" w:rsidRDefault="001656DA">
      <w:pPr>
        <w:rPr>
          <w:rFonts w:ascii="Times New Roman" w:eastAsia="Times New Roman" w:hAnsi="Times New Roman" w:cs="Times New Roman"/>
          <w:sz w:val="24"/>
          <w:szCs w:val="24"/>
        </w:rPr>
      </w:pPr>
      <w:r>
        <w:rPr>
          <w:sz w:val="24"/>
          <w:szCs w:val="24"/>
        </w:rPr>
        <w:t>Approved By/Date:</w:t>
      </w:r>
    </w:p>
    <w:sectPr w:rsidR="00322975">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63221" w14:textId="77777777" w:rsidR="000D722D" w:rsidRDefault="000D722D">
      <w:pPr>
        <w:spacing w:after="0" w:line="240" w:lineRule="auto"/>
      </w:pPr>
      <w:r>
        <w:separator/>
      </w:r>
    </w:p>
  </w:endnote>
  <w:endnote w:type="continuationSeparator" w:id="0">
    <w:p w14:paraId="392794A4" w14:textId="77777777" w:rsidR="000D722D" w:rsidRDefault="000D7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ACDCD" w14:textId="77777777" w:rsidR="00322975" w:rsidRDefault="001656DA">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rFonts w:eastAsia="Calibri"/>
        <w:color w:val="000000"/>
      </w:rPr>
      <w:instrText>PAGE</w:instrText>
    </w:r>
    <w:r>
      <w:rPr>
        <w:color w:val="000000"/>
      </w:rPr>
      <w:fldChar w:fldCharType="separate"/>
    </w:r>
    <w:r w:rsidR="006A0A29">
      <w:rPr>
        <w:noProof/>
        <w:color w:val="000000"/>
      </w:rPr>
      <w:t>1</w:t>
    </w:r>
    <w:r>
      <w:rPr>
        <w:color w:val="000000"/>
      </w:rPr>
      <w:fldChar w:fldCharType="end"/>
    </w:r>
  </w:p>
  <w:p w14:paraId="1395D9DD" w14:textId="77777777" w:rsidR="00322975" w:rsidRDefault="001656DA">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rFonts w:eastAsia="Calibri"/>
        <w:color w:val="000000"/>
      </w:rPr>
      <w:t>V1.0</w:t>
    </w:r>
    <w:r>
      <w:rPr>
        <w:rFonts w:eastAsia="Calibri"/>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0A594" w14:textId="77777777" w:rsidR="000D722D" w:rsidRDefault="000D722D">
      <w:pPr>
        <w:spacing w:after="0" w:line="240" w:lineRule="auto"/>
      </w:pPr>
      <w:r>
        <w:separator/>
      </w:r>
    </w:p>
  </w:footnote>
  <w:footnote w:type="continuationSeparator" w:id="0">
    <w:p w14:paraId="11A26E7A" w14:textId="77777777" w:rsidR="000D722D" w:rsidRDefault="000D72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37D6A" w14:textId="77777777" w:rsidR="00322975" w:rsidRDefault="001656DA">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04DC6A9A" wp14:editId="16F24980">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CFF1DC8" w14:textId="77777777" w:rsidR="00322975" w:rsidRDefault="00322975">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CA1511"/>
    <w:multiLevelType w:val="multilevel"/>
    <w:tmpl w:val="C676555C"/>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CzMDAxNLQwsTA0NDFT0lEKTi0uzszPAykwrAUAjuSFLiwAAAA="/>
  </w:docVars>
  <w:rsids>
    <w:rsidRoot w:val="00322975"/>
    <w:rsid w:val="000D2D6B"/>
    <w:rsid w:val="000D722D"/>
    <w:rsid w:val="001656DA"/>
    <w:rsid w:val="00322975"/>
    <w:rsid w:val="005F2B8E"/>
    <w:rsid w:val="00665DE4"/>
    <w:rsid w:val="006A0A29"/>
    <w:rsid w:val="00754753"/>
    <w:rsid w:val="009841EB"/>
    <w:rsid w:val="009B4D87"/>
    <w:rsid w:val="00B00CDD"/>
    <w:rsid w:val="00C235A3"/>
    <w:rsid w:val="00CB73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F5891"/>
  <w15:docId w15:val="{B6AF4759-74B4-45A3-A8EF-665EBC1F0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Batang" w:hAnsi="Calibri" w:cs="Calibri"/>
        <w:sz w:val="22"/>
        <w:szCs w:val="22"/>
        <w:lang w:val="en-US" w:eastAsia="ko-KR"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665DE4"/>
    <w:rPr>
      <w:color w:val="0000FF" w:themeColor="hyperlink"/>
      <w:u w:val="single"/>
    </w:rPr>
  </w:style>
  <w:style w:type="character" w:styleId="UnresolvedMention">
    <w:name w:val="Unresolved Mention"/>
    <w:basedOn w:val="DefaultParagraphFont"/>
    <w:uiPriority w:val="99"/>
    <w:semiHidden/>
    <w:unhideWhenUsed/>
    <w:rsid w:val="00665D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rabanti@stanford.edu"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561</TotalTime>
  <Pages>3</Pages>
  <Words>823</Words>
  <Characters>4696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Xinyi Wen</cp:lastModifiedBy>
  <cp:revision>10</cp:revision>
  <dcterms:created xsi:type="dcterms:W3CDTF">2021-03-18T16:47:00Z</dcterms:created>
  <dcterms:modified xsi:type="dcterms:W3CDTF">2021-10-14T19:15:00Z</dcterms:modified>
</cp:coreProperties>
</file>