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b w:val="1"/>
          <w:sz w:val="24"/>
          <w:szCs w:val="24"/>
          <w:rtl w:val="0"/>
        </w:rPr>
        <w:t xml:space="preserve">Request Title:  Using Dimethyl Sulfoxide for Liftoff</w:t>
        <w:tab/>
        <w:tab/>
        <w:tab/>
        <w:tab/>
        <w:tab/>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b w:val="1"/>
          <w:sz w:val="24"/>
          <w:szCs w:val="24"/>
          <w:rtl w:val="0"/>
        </w:rPr>
        <w:t xml:space="preserve">Requestor: Arash Afsarifard</w:t>
      </w:r>
      <w:r w:rsidDel="00000000" w:rsidR="00000000" w:rsidRPr="00000000">
        <w:rPr>
          <w:rFonts w:ascii="Times New Roman" w:cs="Times New Roman" w:eastAsia="Times New Roman" w:hAnsi="Times New Roman"/>
          <w:b w:val="1"/>
          <w:sz w:val="24"/>
          <w:szCs w:val="24"/>
          <w:rtl w:val="0"/>
        </w:rPr>
        <w:tab/>
        <w:tab/>
        <w:tab/>
        <w:tab/>
        <w:tab/>
        <w:tab/>
        <w:tab/>
      </w:r>
      <w:r w:rsidDel="00000000" w:rsidR="00000000" w:rsidRPr="00000000">
        <w:rPr>
          <w:b w:val="1"/>
          <w:sz w:val="24"/>
          <w:szCs w:val="24"/>
          <w:rtl w:val="0"/>
        </w:rPr>
        <w:t xml:space="preserve">Date:  7/23/2021</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Non-SNF staff, please complete the following:</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Badger ID: arash@genapsys.com</w:t>
        <w:tab/>
        <w:tab/>
        <w:tab/>
        <w:tab/>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Company name/PI: Genapsys</w:t>
      </w:r>
      <w:r w:rsidDel="00000000" w:rsidR="00000000" w:rsidRPr="00000000">
        <w:rPr>
          <w:rtl w:val="0"/>
        </w:rPr>
      </w:r>
    </w:p>
    <w:p w:rsidR="00000000" w:rsidDel="00000000" w:rsidP="00000000" w:rsidRDefault="00000000" w:rsidRPr="00000000" w14:paraId="00000006">
      <w:pPr>
        <w:pBdr>
          <w:bottom w:color="000000" w:space="1" w:sz="12" w:val="single"/>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Send completed form to: snf-promcommittee@lists.stanford.edu</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ind w:left="360" w:hanging="360"/>
        <w:rPr>
          <w:sz w:val="24"/>
          <w:szCs w:val="24"/>
        </w:rPr>
      </w:pPr>
      <w:r w:rsidDel="00000000" w:rsidR="00000000" w:rsidRPr="00000000">
        <w:rPr>
          <w:b w:val="1"/>
          <w:sz w:val="24"/>
          <w:szCs w:val="24"/>
          <w:rtl w:val="0"/>
        </w:rPr>
        <w:t xml:space="preserve">The chemical or material. </w:t>
      </w:r>
      <w:r w:rsidDel="00000000" w:rsidR="00000000" w:rsidRPr="00000000">
        <w:rPr>
          <w:sz w:val="24"/>
          <w:szCs w:val="24"/>
          <w:rtl w:val="0"/>
        </w:rPr>
        <w:t xml:space="preserve">Dimethyl Sulfoxide (DMSO) and Polyacrylamide</w:t>
      </w:r>
    </w:p>
    <w:p w:rsidR="00000000" w:rsidDel="00000000" w:rsidP="00000000" w:rsidRDefault="00000000" w:rsidRPr="00000000" w14:paraId="00000009">
      <w:pPr>
        <w:numPr>
          <w:ilvl w:val="0"/>
          <w:numId w:val="1"/>
        </w:numPr>
        <w:ind w:left="360" w:hanging="360"/>
        <w:rPr>
          <w:sz w:val="24"/>
          <w:szCs w:val="24"/>
        </w:rPr>
      </w:pPr>
      <w:r w:rsidDel="00000000" w:rsidR="00000000" w:rsidRPr="00000000">
        <w:rPr>
          <w:b w:val="1"/>
          <w:sz w:val="24"/>
          <w:szCs w:val="24"/>
          <w:rtl w:val="0"/>
        </w:rPr>
        <w:t xml:space="preserve">Vendor/manufacturer info:</w:t>
      </w:r>
      <w:r w:rsidDel="00000000" w:rsidR="00000000" w:rsidRPr="00000000">
        <w:rPr>
          <w:sz w:val="24"/>
          <w:szCs w:val="24"/>
          <w:rtl w:val="0"/>
        </w:rPr>
        <w:t xml:space="preserve"> Sigma-Aldritch. </w:t>
      </w:r>
      <w:hyperlink r:id="rId7">
        <w:r w:rsidDel="00000000" w:rsidR="00000000" w:rsidRPr="00000000">
          <w:rPr>
            <w:color w:val="0000ff"/>
            <w:sz w:val="24"/>
            <w:szCs w:val="24"/>
            <w:u w:val="single"/>
            <w:rtl w:val="0"/>
          </w:rPr>
          <w:t xml:space="preserve">https://www.sigmaaldrich.com/US/en/collections/offices#unitedstates</w:t>
        </w:r>
      </w:hyperlink>
      <w:r w:rsidDel="00000000" w:rsidR="00000000" w:rsidRPr="00000000">
        <w:rPr>
          <w:rtl w:val="0"/>
        </w:rPr>
      </w:r>
    </w:p>
    <w:p w:rsidR="00000000" w:rsidDel="00000000" w:rsidP="00000000" w:rsidRDefault="00000000" w:rsidRPr="00000000" w14:paraId="0000000A">
      <w:pPr>
        <w:ind w:left="360" w:firstLine="0"/>
        <w:rPr>
          <w:sz w:val="24"/>
          <w:szCs w:val="24"/>
        </w:rPr>
      </w:pPr>
      <w:r w:rsidDel="00000000" w:rsidR="00000000" w:rsidRPr="00000000">
        <w:rPr>
          <w:rFonts w:ascii="Arial" w:cs="Arial" w:eastAsia="Arial" w:hAnsi="Arial"/>
          <w:color w:val="000000"/>
          <w:highlight w:val="white"/>
          <w:rtl w:val="0"/>
        </w:rPr>
        <w:t xml:space="preserve">1 (800) 325-3010</w:t>
      </w:r>
      <w:r w:rsidDel="00000000" w:rsidR="00000000" w:rsidRPr="00000000">
        <w:rPr>
          <w:rtl w:val="0"/>
        </w:rPr>
      </w:r>
    </w:p>
    <w:p w:rsidR="00000000" w:rsidDel="00000000" w:rsidP="00000000" w:rsidRDefault="00000000" w:rsidRPr="00000000" w14:paraId="0000000B">
      <w:pPr>
        <w:ind w:left="360" w:firstLine="0"/>
        <w:rPr>
          <w:rFonts w:ascii="Arial" w:cs="Arial" w:eastAsia="Arial" w:hAnsi="Arial"/>
          <w:color w:val="000000"/>
          <w:highlight w:val="white"/>
        </w:rPr>
      </w:pPr>
      <w:r w:rsidDel="00000000" w:rsidR="00000000" w:rsidRPr="00000000">
        <w:rPr>
          <w:rFonts w:ascii="Arial" w:cs="Arial" w:eastAsia="Arial" w:hAnsi="Arial"/>
          <w:b w:val="1"/>
          <w:color w:val="000000"/>
          <w:highlight w:val="white"/>
          <w:rtl w:val="0"/>
        </w:rPr>
        <w:t xml:space="preserve">Sigma-Aldrich, Inc.</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highlight w:val="white"/>
          <w:rtl w:val="0"/>
        </w:rPr>
        <w:t xml:space="preserve">PO Box 14508</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highlight w:val="white"/>
          <w:rtl w:val="0"/>
        </w:rPr>
        <w:t xml:space="preserve">St. Louis, MO 68178</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color w:val="000000"/>
          <w:highlight w:val="white"/>
          <w:rtl w:val="0"/>
        </w:rPr>
        <w:t xml:space="preserve">United States.</w:t>
      </w:r>
    </w:p>
    <w:p w:rsidR="00000000" w:rsidDel="00000000" w:rsidP="00000000" w:rsidRDefault="00000000" w:rsidRPr="00000000" w14:paraId="0000000C">
      <w:pPr>
        <w:numPr>
          <w:ilvl w:val="0"/>
          <w:numId w:val="1"/>
        </w:numPr>
        <w:ind w:left="360" w:hanging="360"/>
        <w:rPr>
          <w:sz w:val="24"/>
          <w:szCs w:val="24"/>
        </w:rPr>
      </w:pPr>
      <w:r w:rsidDel="00000000" w:rsidR="00000000" w:rsidRPr="00000000">
        <w:rPr>
          <w:b w:val="1"/>
          <w:sz w:val="24"/>
          <w:szCs w:val="24"/>
          <w:rtl w:val="0"/>
        </w:rPr>
        <w:t xml:space="preserve">Reason for request:</w:t>
      </w:r>
      <w:r w:rsidDel="00000000" w:rsidR="00000000" w:rsidRPr="00000000">
        <w:rPr>
          <w:sz w:val="24"/>
          <w:szCs w:val="24"/>
          <w:rtl w:val="0"/>
        </w:rPr>
        <w:t xml:space="preserve"> We would like to test if we can do lift-off patterning of our polyacrylamide hydrogel by introducing our hydrogel on top of a patterned negative or positive photoresist Then, using DMSO to liftoff and dissolve the photoresist.</w:t>
      </w:r>
    </w:p>
    <w:p w:rsidR="00000000" w:rsidDel="00000000" w:rsidP="00000000" w:rsidRDefault="00000000" w:rsidRPr="00000000" w14:paraId="0000000D">
      <w:pPr>
        <w:ind w:left="360" w:firstLine="0"/>
        <w:rPr>
          <w:sz w:val="24"/>
          <w:szCs w:val="24"/>
        </w:rPr>
      </w:pPr>
      <w:r w:rsidDel="00000000" w:rsidR="00000000" w:rsidRPr="00000000">
        <w:rPr>
          <w:sz w:val="24"/>
          <w:szCs w:val="24"/>
          <w:rtl w:val="0"/>
        </w:rPr>
        <w:t xml:space="preserve">The reason we have to use DMSO is because our hydrogel precipitates off the wafer under Acetone and NMP conditions. The only solvent that can still dissolve photoresists but keep the hydrogel intact on the wafer is DMSO. </w:t>
      </w:r>
    </w:p>
    <w:p w:rsidR="00000000" w:rsidDel="00000000" w:rsidP="00000000" w:rsidRDefault="00000000" w:rsidRPr="00000000" w14:paraId="0000000E">
      <w:pPr>
        <w:numPr>
          <w:ilvl w:val="0"/>
          <w:numId w:val="1"/>
        </w:numPr>
        <w:ind w:left="360" w:hanging="360"/>
        <w:rPr>
          <w:sz w:val="24"/>
          <w:szCs w:val="24"/>
        </w:rPr>
      </w:pPr>
      <w:r w:rsidDel="00000000" w:rsidR="00000000" w:rsidRPr="00000000">
        <w:rPr>
          <w:b w:val="1"/>
          <w:sz w:val="24"/>
          <w:szCs w:val="24"/>
          <w:rtl w:val="0"/>
        </w:rPr>
        <w:t xml:space="preserve">Process Flow:</w:t>
      </w:r>
      <w:r w:rsidDel="00000000" w:rsidR="00000000" w:rsidRPr="00000000">
        <w:rPr>
          <w:sz w:val="24"/>
          <w:szCs w:val="24"/>
          <w:rtl w:val="0"/>
        </w:rPr>
        <w:t xml:space="preserve"> The 4” SiO2 wafer would first have photoresist (can be one provided in SNF, but a specific one depends on compatibility with DMSO) spincoated on Headway, patterned with Karlsuess, and developed with TMAH developer at wet bench. After photoresist patterning, polyacrylamide hydrogel would be statically dispensed on wafer and spin-washed with water on Headway. A quick 100C bake on hotplate to settle the hydrogel onto of photoresist and remove excess water. Then, wafer will be placed in a container with Dimethyl Sulfoxide and either manually moved around with tweezers or sonicate it at the solvent wet bench. We would prefer to be able to dump the used Dimethyl Sulfoxide in the solvent waste afterwards. </w:t>
      </w:r>
    </w:p>
    <w:p w:rsidR="00000000" w:rsidDel="00000000" w:rsidP="00000000" w:rsidRDefault="00000000" w:rsidRPr="00000000" w14:paraId="0000000F">
      <w:pPr>
        <w:numPr>
          <w:ilvl w:val="0"/>
          <w:numId w:val="1"/>
        </w:numPr>
        <w:ind w:left="360" w:hanging="360"/>
        <w:rPr>
          <w:sz w:val="24"/>
          <w:szCs w:val="24"/>
        </w:rPr>
      </w:pPr>
      <w:r w:rsidDel="00000000" w:rsidR="00000000" w:rsidRPr="00000000">
        <w:rPr>
          <w:b w:val="1"/>
          <w:sz w:val="24"/>
          <w:szCs w:val="24"/>
          <w:rtl w:val="0"/>
        </w:rPr>
        <w:t xml:space="preserve">Amount and form. </w:t>
      </w:r>
      <w:r w:rsidDel="00000000" w:rsidR="00000000" w:rsidRPr="00000000">
        <w:rPr>
          <w:sz w:val="24"/>
          <w:szCs w:val="24"/>
          <w:rtl w:val="0"/>
        </w:rPr>
        <w:t xml:space="preserve">I would bring in a 1L liquid container of DMSO. It is in a ready to use form, no mixing required. </w:t>
      </w:r>
    </w:p>
    <w:p w:rsidR="00000000" w:rsidDel="00000000" w:rsidP="00000000" w:rsidRDefault="00000000" w:rsidRPr="00000000" w14:paraId="00000010">
      <w:pPr>
        <w:ind w:left="360" w:firstLine="0"/>
        <w:rPr>
          <w:sz w:val="24"/>
          <w:szCs w:val="24"/>
        </w:rPr>
      </w:pPr>
      <w:r w:rsidDel="00000000" w:rsidR="00000000" w:rsidRPr="00000000">
        <w:rPr>
          <w:sz w:val="24"/>
          <w:szCs w:val="24"/>
          <w:rtl w:val="0"/>
        </w:rPr>
        <w:t xml:space="preserve">Polyacrylamide liquid solution is in a 15-50mL plastic container. It is ready to use for coating, no other mixing or processing of the solution required at SNF.</w:t>
      </w:r>
    </w:p>
    <w:p w:rsidR="00000000" w:rsidDel="00000000" w:rsidP="00000000" w:rsidRDefault="00000000" w:rsidRPr="00000000" w14:paraId="00000011">
      <w:pPr>
        <w:numPr>
          <w:ilvl w:val="0"/>
          <w:numId w:val="1"/>
        </w:numPr>
        <w:ind w:left="360" w:hanging="360"/>
        <w:rPr>
          <w:sz w:val="24"/>
          <w:szCs w:val="24"/>
        </w:rPr>
      </w:pPr>
      <w:r w:rsidDel="00000000" w:rsidR="00000000" w:rsidRPr="00000000">
        <w:rPr>
          <w:b w:val="1"/>
          <w:sz w:val="24"/>
          <w:szCs w:val="24"/>
          <w:rtl w:val="0"/>
        </w:rPr>
        <w:t xml:space="preserve">Storage: </w:t>
      </w:r>
      <w:r w:rsidDel="00000000" w:rsidR="00000000" w:rsidRPr="00000000">
        <w:rPr>
          <w:sz w:val="24"/>
          <w:szCs w:val="24"/>
          <w:rtl w:val="0"/>
        </w:rPr>
        <w:t xml:space="preserve">I wouldn’t mind storing it at SNF but it is not a requirement. If it’s allowed, it would be in Storage Group L based on Stanford’s site. I would only want this chemical available for Genapsys use. It can be stored at room temperature. It is classified as a flammable solvent. Anything else can be found in the MSDS.</w:t>
      </w:r>
    </w:p>
    <w:p w:rsidR="00000000" w:rsidDel="00000000" w:rsidP="00000000" w:rsidRDefault="00000000" w:rsidRPr="00000000" w14:paraId="00000012">
      <w:pPr>
        <w:ind w:left="360" w:firstLine="0"/>
        <w:rPr>
          <w:sz w:val="24"/>
          <w:szCs w:val="24"/>
        </w:rPr>
      </w:pPr>
      <w:r w:rsidDel="00000000" w:rsidR="00000000" w:rsidRPr="00000000">
        <w:rPr>
          <w:sz w:val="24"/>
          <w:szCs w:val="24"/>
          <w:rtl w:val="0"/>
        </w:rPr>
        <w:t xml:space="preserve">If we are not allowed to keep it at SNF, I will use a smaller container to bring everytime through the pass-through.</w:t>
      </w:r>
    </w:p>
    <w:p w:rsidR="00000000" w:rsidDel="00000000" w:rsidP="00000000" w:rsidRDefault="00000000" w:rsidRPr="00000000" w14:paraId="00000013">
      <w:pPr>
        <w:ind w:left="360" w:firstLine="0"/>
        <w:rPr>
          <w:sz w:val="24"/>
          <w:szCs w:val="24"/>
        </w:rPr>
      </w:pPr>
      <w:r w:rsidDel="00000000" w:rsidR="00000000" w:rsidRPr="00000000">
        <w:rPr>
          <w:sz w:val="24"/>
          <w:szCs w:val="24"/>
          <w:rtl w:val="0"/>
        </w:rPr>
        <w:t xml:space="preserve">Polyacrylamide will be brought in fresh in 15-50mL amounts every time it is used and not kept at SNF afterwards. It is stable at room temperature and generally not flammable or reactive.</w:t>
      </w:r>
    </w:p>
    <w:p w:rsidR="00000000" w:rsidDel="00000000" w:rsidP="00000000" w:rsidRDefault="00000000" w:rsidRPr="00000000" w14:paraId="00000014">
      <w:pPr>
        <w:numPr>
          <w:ilvl w:val="0"/>
          <w:numId w:val="1"/>
        </w:numPr>
        <w:pBdr>
          <w:bottom w:color="000000" w:space="1" w:sz="12" w:val="single"/>
        </w:pBdr>
        <w:ind w:left="360" w:hanging="360"/>
        <w:rPr>
          <w:sz w:val="24"/>
          <w:szCs w:val="24"/>
        </w:rPr>
      </w:pPr>
      <w:r w:rsidDel="00000000" w:rsidR="00000000" w:rsidRPr="00000000">
        <w:rPr>
          <w:b w:val="1"/>
          <w:sz w:val="24"/>
          <w:szCs w:val="24"/>
          <w:rtl w:val="0"/>
        </w:rPr>
        <w:t xml:space="preserve">Disposal</w:t>
      </w:r>
      <w:r w:rsidDel="00000000" w:rsidR="00000000" w:rsidRPr="00000000">
        <w:rPr>
          <w:sz w:val="24"/>
          <w:szCs w:val="24"/>
          <w:rtl w:val="0"/>
        </w:rPr>
        <w:t xml:space="preserve">:  As mentioned in the process flow, I would prefer if it was disposed of in the solvent waste. Otherwise, can setup to take out a satellite hazardous waste container to dispose at Genapsys. After DMSO liftoff, wash wafer with water either in container or on Headway.  </w:t>
      </w:r>
    </w:p>
    <w:p w:rsidR="00000000" w:rsidDel="00000000" w:rsidP="00000000" w:rsidRDefault="00000000" w:rsidRPr="00000000" w14:paraId="00000015">
      <w:pPr>
        <w:pBdr>
          <w:bottom w:color="000000" w:space="1" w:sz="12" w:val="single"/>
        </w:pBdr>
        <w:ind w:left="360" w:firstLine="0"/>
        <w:rPr>
          <w:sz w:val="24"/>
          <w:szCs w:val="24"/>
        </w:rPr>
      </w:pPr>
      <w:r w:rsidDel="00000000" w:rsidR="00000000" w:rsidRPr="00000000">
        <w:rPr>
          <w:sz w:val="24"/>
          <w:szCs w:val="24"/>
          <w:rtl w:val="0"/>
        </w:rPr>
        <w:t xml:space="preserve">Any excess of Polyacrylamide solution and its container will be disposed of by bringing the containers back to Genapsys. A large secondary container will hold it while transporting it in case of container leakage.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sz w:val="24"/>
          <w:szCs w:val="24"/>
          <w:rtl w:val="0"/>
        </w:rPr>
        <w:t xml:space="preserve">To be completed by the PROM COMMITTEE:</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Special handling requirements: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On-going approval or staff interaction requirements: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sz w:val="24"/>
          <w:szCs w:val="24"/>
          <w:rtl w:val="0"/>
        </w:rPr>
        <w:t xml:space="preserve">Approved By/Date:</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Times New Roman" w:cs="Times New Roman" w:eastAsia="Times New Roman" w:hAnsi="Times New Roman"/>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right="360"/>
      <w:rPr>
        <w:rFonts w:ascii="Times New Roman" w:cs="Times New Roman" w:eastAsia="Times New Roman" w:hAnsi="Times New Roman"/>
        <w:color w:val="000000"/>
      </w:rPr>
    </w:pPr>
    <w:r w:rsidDel="00000000" w:rsidR="00000000" w:rsidRPr="00000000">
      <w:rPr>
        <w:color w:val="000000"/>
        <w:rtl w:val="0"/>
      </w:rPr>
      <w:t xml:space="preserve">V1.0</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pBdr>
        <w:bottom w:color="000000" w:space="1" w:sz="4" w:val="single"/>
      </w:pBdr>
      <w:spacing w:after="0" w:lineRule="auto"/>
      <w:ind w:right="-20"/>
      <w:rPr>
        <w:rFonts w:ascii="Arial" w:cs="Arial" w:eastAsia="Arial" w:hAnsi="Arial"/>
        <w:sz w:val="32"/>
        <w:szCs w:val="32"/>
      </w:rPr>
    </w:pPr>
    <w:r w:rsidDel="00000000" w:rsidR="00000000" w:rsidRPr="00000000">
      <w:rPr>
        <w:rFonts w:ascii="Arial" w:cs="Arial" w:eastAsia="Arial" w:hAnsi="Arial"/>
        <w:b w:val="1"/>
        <w:smallCaps w:val="1"/>
        <w:sz w:val="32"/>
        <w:szCs w:val="32"/>
        <w:rtl w:val="0"/>
      </w:rPr>
      <w:t xml:space="preserve"> Process or Materials Review Request Form</w:t>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-457197</wp:posOffset>
          </wp:positionV>
          <wp:extent cx="1371600" cy="105981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059815"/>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rFonts w:ascii="Times New Roman" w:cs="Times New Roman" w:eastAsia="Times New Roman" w:hAnsi="Times New Roman"/>
        <w:vertAlign w:val="baseline"/>
      </w:rPr>
    </w:lvl>
    <w:lvl w:ilvl="2">
      <w:start w:val="1"/>
      <w:numFmt w:val="decimal"/>
      <w:lvlText w:val="%3."/>
      <w:lvlJc w:val="left"/>
      <w:pPr>
        <w:ind w:left="1800" w:hanging="360"/>
      </w:pPr>
      <w:rPr>
        <w:rFonts w:ascii="Times New Roman" w:cs="Times New Roman" w:eastAsia="Times New Roman" w:hAnsi="Times New Roman"/>
        <w:vertAlign w:val="baseline"/>
      </w:rPr>
    </w:lvl>
    <w:lvl w:ilvl="3">
      <w:start w:val="1"/>
      <w:numFmt w:val="decimal"/>
      <w:lvlText w:val="%4."/>
      <w:lvlJc w:val="left"/>
      <w:pPr>
        <w:ind w:left="2520" w:hanging="360"/>
      </w:pPr>
      <w:rPr>
        <w:rFonts w:ascii="Times New Roman" w:cs="Times New Roman" w:eastAsia="Times New Roman" w:hAnsi="Times New Roman"/>
        <w:vertAlign w:val="baseline"/>
      </w:rPr>
    </w:lvl>
    <w:lvl w:ilvl="4">
      <w:start w:val="1"/>
      <w:numFmt w:val="decimal"/>
      <w:lvlText w:val="%5."/>
      <w:lvlJc w:val="left"/>
      <w:pPr>
        <w:ind w:left="3240" w:hanging="360"/>
      </w:pPr>
      <w:rPr>
        <w:rFonts w:ascii="Times New Roman" w:cs="Times New Roman" w:eastAsia="Times New Roman" w:hAnsi="Times New Roman"/>
        <w:vertAlign w:val="baseline"/>
      </w:rPr>
    </w:lvl>
    <w:lvl w:ilvl="5">
      <w:start w:val="1"/>
      <w:numFmt w:val="decimal"/>
      <w:lvlText w:val="%6."/>
      <w:lvlJc w:val="left"/>
      <w:pPr>
        <w:ind w:left="3960" w:hanging="360"/>
      </w:pPr>
      <w:rPr>
        <w:rFonts w:ascii="Times New Roman" w:cs="Times New Roman" w:eastAsia="Times New Roman" w:hAnsi="Times New Roman"/>
        <w:vertAlign w:val="baseline"/>
      </w:rPr>
    </w:lvl>
    <w:lvl w:ilvl="6">
      <w:start w:val="1"/>
      <w:numFmt w:val="decimal"/>
      <w:lvlText w:val="%7."/>
      <w:lvlJc w:val="left"/>
      <w:pPr>
        <w:ind w:left="4680" w:hanging="360"/>
      </w:pPr>
      <w:rPr>
        <w:rFonts w:ascii="Times New Roman" w:cs="Times New Roman" w:eastAsia="Times New Roman" w:hAnsi="Times New Roman"/>
        <w:vertAlign w:val="baseline"/>
      </w:rPr>
    </w:lvl>
    <w:lvl w:ilvl="7">
      <w:start w:val="1"/>
      <w:numFmt w:val="decimal"/>
      <w:lvlText w:val="%8."/>
      <w:lvlJc w:val="left"/>
      <w:pPr>
        <w:ind w:left="5400" w:hanging="360"/>
      </w:pPr>
      <w:rPr>
        <w:rFonts w:ascii="Times New Roman" w:cs="Times New Roman" w:eastAsia="Times New Roman" w:hAnsi="Times New Roman"/>
        <w:vertAlign w:val="baseline"/>
      </w:rPr>
    </w:lvl>
    <w:lvl w:ilvl="8">
      <w:start w:val="1"/>
      <w:numFmt w:val="decimal"/>
      <w:lvlText w:val="%9."/>
      <w:lvlJc w:val="left"/>
      <w:pPr>
        <w:ind w:left="6120" w:hanging="360"/>
      </w:pPr>
      <w:rPr>
        <w:rFonts w:ascii="Times New Roman" w:cs="Times New Roman" w:eastAsia="Times New Roman" w:hAnsi="Times New Roman"/>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4A420D"/>
    <w:rPr>
      <w:color w:val="0000ff" w:themeColor="hyperlink"/>
      <w:u w:val="single"/>
    </w:rPr>
  </w:style>
  <w:style w:type="character" w:styleId="UnresolvedMention">
    <w:name w:val="Unresolved Mention"/>
    <w:basedOn w:val="DefaultParagraphFont"/>
    <w:uiPriority w:val="99"/>
    <w:semiHidden w:val="1"/>
    <w:unhideWhenUsed w:val="1"/>
    <w:rsid w:val="004A420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igmaaldrich.com/US/en/collections/offices#unitedstate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9je3uoB7cPONDMCudRy7SQy9w==">AMUW2mXm6pTwYW77+p8Fy2jU3bBDAmaz0MSfCoDW35YVeK8S3M49Aa3s1f0Gt0qIvMXyLgKb0MGu9ooisEksyCREl/K4eo7C1q9FI39a2tUqhrplUb/oo8I=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2021-07-23T18:06:00Z</dcterms:created>
  <dc:creator>Arash Afsarifard</dc:creator>
</cp:coreProperties>
</file>