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rPr>
          <w:rFonts w:ascii="Times New Roman" w:cs="Times New Roman" w:hAnsi="Times New Roman" w:eastAsia="Times New Roman"/>
          <w:sz w:val="24"/>
          <w:szCs w:val="24"/>
          <w:vertAlign w:val="baseline"/>
        </w:rPr>
      </w:pPr>
      <w:r>
        <w:rPr>
          <w:b w:val="1"/>
          <w:bCs w:val="1"/>
          <w:sz w:val="24"/>
          <w:szCs w:val="24"/>
          <w:rtl w:val="0"/>
          <w:lang w:val="en-US"/>
        </w:rPr>
        <w:t xml:space="preserve">Request </w:t>
      </w:r>
      <w:r>
        <w:rPr>
          <w:b w:val="1"/>
          <w:bCs w:val="1"/>
          <w:sz w:val="24"/>
          <w:szCs w:val="24"/>
          <w:vertAlign w:val="baseline"/>
          <w:rtl w:val="0"/>
          <w:lang w:val="de-DE"/>
        </w:rPr>
        <w:t xml:space="preserve">Title:  </w:t>
        <w:tab/>
      </w:r>
      <w:r>
        <w:rPr>
          <w:b w:val="1"/>
          <w:bCs w:val="1"/>
          <w:color w:val="0432ff"/>
          <w:sz w:val="24"/>
          <w:szCs w:val="24"/>
          <w:vertAlign w:val="baseline"/>
          <w:rtl w:val="0"/>
          <w:lang w:val="en-US"/>
        </w:rPr>
        <w:t>Epoxy Options for Non-galvanic Flip Chip Bonding</w:t>
      </w:r>
      <w:r>
        <w:rPr>
          <w:b w:val="1"/>
          <w:bCs w:val="1"/>
          <w:sz w:val="24"/>
          <w:szCs w:val="24"/>
          <w:vertAlign w:val="baseline"/>
        </w:rPr>
        <w:tab/>
        <w:tab/>
        <w:tab/>
      </w:r>
    </w:p>
    <w:p>
      <w:pPr>
        <w:pStyle w:val="Body"/>
        <w:rPr>
          <w:rFonts w:ascii="Times New Roman" w:cs="Times New Roman" w:hAnsi="Times New Roman" w:eastAsia="Times New Roman"/>
          <w:color w:val="0432ff"/>
          <w:sz w:val="24"/>
          <w:szCs w:val="24"/>
          <w:vertAlign w:val="baseline"/>
        </w:rPr>
      </w:pPr>
      <w:r>
        <w:rPr>
          <w:b w:val="1"/>
          <w:bCs w:val="1"/>
          <w:sz w:val="24"/>
          <w:szCs w:val="24"/>
          <w:vertAlign w:val="baseline"/>
          <w:rtl w:val="0"/>
          <w:lang w:val="it-IT"/>
        </w:rPr>
        <w:t xml:space="preserve">Requestor: </w:t>
      </w:r>
      <w:r>
        <w:rPr>
          <w:b w:val="1"/>
          <w:bCs w:val="1"/>
          <w:color w:val="0432ff"/>
          <w:sz w:val="24"/>
          <w:szCs w:val="24"/>
          <w:vertAlign w:val="baseline"/>
          <w:rtl w:val="0"/>
          <w:lang w:val="en-US"/>
        </w:rPr>
        <w:t>Rachel Gruenke</w:t>
      </w:r>
      <w:r>
        <w:rPr>
          <w:rFonts w:ascii="Times New Roman" w:cs="Times New Roman" w:hAnsi="Times New Roman" w:eastAsia="Times New Roman"/>
          <w:b w:val="1"/>
          <w:bCs w:val="1"/>
          <w:sz w:val="24"/>
          <w:szCs w:val="24"/>
          <w:vertAlign w:val="baseline"/>
        </w:rPr>
        <w:tab/>
        <w:tab/>
        <w:tab/>
        <w:tab/>
        <w:tab/>
        <w:tab/>
      </w:r>
      <w:r>
        <w:rPr>
          <w:b w:val="1"/>
          <w:bCs w:val="1"/>
          <w:sz w:val="24"/>
          <w:szCs w:val="24"/>
          <w:vertAlign w:val="baseline"/>
          <w:rtl w:val="0"/>
          <w:lang w:val="de-DE"/>
        </w:rPr>
        <w:t xml:space="preserve">Date:  </w:t>
      </w:r>
      <w:r>
        <w:rPr>
          <w:b w:val="1"/>
          <w:bCs w:val="1"/>
          <w:color w:val="0432ff"/>
          <w:sz w:val="24"/>
          <w:szCs w:val="24"/>
          <w:vertAlign w:val="baseline"/>
          <w:rtl w:val="0"/>
          <w:lang w:val="en-US"/>
        </w:rPr>
        <w:t>10/09/2019</w:t>
      </w:r>
    </w:p>
    <w:p>
      <w:pPr>
        <w:pStyle w:val="Body"/>
        <w:rPr>
          <w:sz w:val="24"/>
          <w:szCs w:val="24"/>
          <w:vertAlign w:val="baseline"/>
        </w:rPr>
      </w:pPr>
      <w:r>
        <w:rPr>
          <w:b w:val="1"/>
          <w:bCs w:val="1"/>
          <w:sz w:val="24"/>
          <w:szCs w:val="24"/>
          <w:vertAlign w:val="baseline"/>
          <w:rtl w:val="0"/>
          <w:lang w:val="en-US"/>
        </w:rPr>
        <w:t>Non-SNF staff, please complete the following:</w:t>
      </w:r>
    </w:p>
    <w:p>
      <w:pPr>
        <w:pStyle w:val="Body"/>
        <w:rPr>
          <w:sz w:val="24"/>
          <w:szCs w:val="24"/>
          <w:vertAlign w:val="baseline"/>
        </w:rPr>
      </w:pPr>
      <w:r>
        <w:rPr>
          <w:b w:val="1"/>
          <w:bCs w:val="1"/>
          <w:sz w:val="24"/>
          <w:szCs w:val="24"/>
          <w:vertAlign w:val="baseline"/>
          <w:rtl w:val="0"/>
          <w:lang w:val="de-DE"/>
        </w:rPr>
        <w:t>Badger ID:</w:t>
        <w:tab/>
      </w:r>
      <w:r>
        <w:rPr>
          <w:b w:val="1"/>
          <w:bCs w:val="1"/>
          <w:color w:val="0432ff"/>
          <w:sz w:val="24"/>
          <w:szCs w:val="24"/>
          <w:vertAlign w:val="baseline"/>
          <w:rtl w:val="0"/>
          <w:lang w:val="en-US"/>
        </w:rPr>
        <w:t>rgruenke</w:t>
      </w:r>
      <w:r>
        <w:rPr>
          <w:b w:val="1"/>
          <w:bCs w:val="1"/>
          <w:sz w:val="24"/>
          <w:szCs w:val="24"/>
          <w:vertAlign w:val="baseline"/>
        </w:rPr>
        <w:tab/>
        <w:tab/>
        <w:tab/>
      </w:r>
    </w:p>
    <w:p>
      <w:pPr>
        <w:pStyle w:val="Body"/>
        <w:rPr>
          <w:sz w:val="24"/>
          <w:szCs w:val="24"/>
          <w:vertAlign w:val="baseline"/>
        </w:rPr>
      </w:pPr>
      <w:r>
        <w:rPr>
          <w:b w:val="1"/>
          <w:bCs w:val="1"/>
          <w:sz w:val="24"/>
          <w:szCs w:val="24"/>
          <w:vertAlign w:val="baseline"/>
          <w:rtl w:val="0"/>
          <w:lang w:val="en-US"/>
        </w:rPr>
        <w:t xml:space="preserve">Company name/PI: </w:t>
      </w:r>
      <w:r>
        <w:rPr>
          <w:b w:val="1"/>
          <w:bCs w:val="1"/>
          <w:color w:val="0432ff"/>
          <w:sz w:val="24"/>
          <w:szCs w:val="24"/>
          <w:vertAlign w:val="baseline"/>
          <w:rtl w:val="0"/>
          <w:lang w:val="en-US"/>
        </w:rPr>
        <w:t>Amir Safavi-Naeini</w:t>
      </w:r>
    </w:p>
    <w:p>
      <w:pPr>
        <w:pStyle w:val="Body"/>
        <w:pBdr>
          <w:top w:val="nil"/>
          <w:left w:val="nil"/>
          <w:bottom w:val="single" w:color="000000" w:sz="12" w:space="0" w:shadow="0" w:frame="0"/>
          <w:right w:val="nil"/>
        </w:pBdr>
        <w:spacing w:after="0"/>
        <w:rPr>
          <w:rFonts w:ascii="Times New Roman" w:cs="Times New Roman" w:hAnsi="Times New Roman" w:eastAsia="Times New Roman"/>
          <w:sz w:val="24"/>
          <w:szCs w:val="24"/>
          <w:vertAlign w:val="baseline"/>
        </w:rPr>
      </w:pPr>
      <w:r>
        <w:rPr>
          <w:rFonts w:ascii="Times New Roman" w:hAnsi="Times New Roman"/>
          <w:i w:val="1"/>
          <w:iCs w:val="1"/>
          <w:sz w:val="24"/>
          <w:szCs w:val="24"/>
          <w:vertAlign w:val="baseline"/>
          <w:rtl w:val="0"/>
          <w:lang w:val="en-US"/>
        </w:rPr>
        <w:t>Send completed form to: snf-promcommittee@lists.stanford.edu</w:t>
      </w:r>
    </w:p>
    <w:p>
      <w:pPr>
        <w:pStyle w:val="Body"/>
        <w:rPr>
          <w:rFonts w:ascii="Times New Roman" w:cs="Times New Roman" w:hAnsi="Times New Roman" w:eastAsia="Times New Roman"/>
          <w:sz w:val="24"/>
          <w:szCs w:val="24"/>
          <w:vertAlign w:val="baseline"/>
        </w:rPr>
      </w:pPr>
    </w:p>
    <w:p>
      <w:pPr>
        <w:pStyle w:val="Body"/>
        <w:numPr>
          <w:ilvl w:val="0"/>
          <w:numId w:val="2"/>
        </w:numPr>
        <w:bidi w:val="0"/>
        <w:ind w:right="0"/>
        <w:jc w:val="left"/>
        <w:rPr>
          <w:rStyle w:val="None"/>
          <w:sz w:val="24"/>
          <w:szCs w:val="24"/>
          <w:vertAlign w:val="baseline"/>
          <w:rtl w:val="0"/>
          <w:lang w:val="en-US"/>
        </w:rPr>
      </w:pPr>
      <w:r>
        <w:rPr>
          <w:b w:val="1"/>
          <w:bCs w:val="1"/>
          <w:sz w:val="24"/>
          <w:szCs w:val="24"/>
          <w:vertAlign w:val="baseline"/>
          <w:rtl w:val="0"/>
          <w:lang w:val="en-US"/>
        </w:rPr>
        <w:t xml:space="preserve">The chemical or material. </w:t>
      </w:r>
      <w:r>
        <w:rPr>
          <w:sz w:val="24"/>
          <w:szCs w:val="24"/>
          <w:vertAlign w:val="baseline"/>
          <w:rtl w:val="0"/>
          <w:lang w:val="en-US"/>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r>
        <w:rPr>
          <w:rStyle w:val="Hyperlink.0"/>
          <w:sz w:val="24"/>
          <w:szCs w:val="24"/>
        </w:rPr>
        <w:fldChar w:fldCharType="begin" w:fldLock="0"/>
      </w:r>
      <w:r>
        <w:rPr>
          <w:rStyle w:val="Hyperlink.0"/>
          <w:sz w:val="24"/>
          <w:szCs w:val="24"/>
        </w:rPr>
        <w:instrText xml:space="preserve"> HYPERLINK "https://ehs.stanford.edu/forms-tools/stanford-storage-groups"</w:instrText>
      </w:r>
      <w:r>
        <w:rPr>
          <w:rStyle w:val="Hyperlink.0"/>
          <w:sz w:val="24"/>
          <w:szCs w:val="24"/>
        </w:rPr>
        <w:fldChar w:fldCharType="separate" w:fldLock="0"/>
      </w:r>
      <w:r>
        <w:rPr>
          <w:rStyle w:val="Hyperlink.0"/>
          <w:sz w:val="24"/>
          <w:szCs w:val="24"/>
          <w:rtl w:val="0"/>
          <w:lang w:val="en-US"/>
        </w:rPr>
        <w:t>Stanford Chemical Storage Groups</w:t>
      </w:r>
      <w:r>
        <w:rPr>
          <w:sz w:val="24"/>
          <w:szCs w:val="24"/>
        </w:rPr>
        <w:fldChar w:fldCharType="end" w:fldLock="0"/>
      </w:r>
      <w:r>
        <w:rPr>
          <w:rStyle w:val="None"/>
          <w:sz w:val="24"/>
          <w:szCs w:val="24"/>
          <w:vertAlign w:val="baseline"/>
          <w:rtl w:val="0"/>
          <w:lang w:val="en-US"/>
        </w:rPr>
        <w:t xml:space="preserve"> to determine the Storage Group Identifier and Main Hazard Class of your chemical/material.</w:t>
      </w:r>
    </w:p>
    <w:p>
      <w:pPr>
        <w:pStyle w:val="Body"/>
        <w:numPr>
          <w:ilvl w:val="1"/>
          <w:numId w:val="4"/>
        </w:numPr>
        <w:bidi w:val="0"/>
        <w:ind w:right="0"/>
        <w:jc w:val="left"/>
        <w:rPr>
          <w:rStyle w:val="None"/>
          <w:color w:val="0432ff"/>
          <w:sz w:val="24"/>
          <w:szCs w:val="24"/>
          <w:vertAlign w:val="baseline"/>
          <w:rtl w:val="0"/>
          <w:lang w:val="en-US"/>
        </w:rPr>
      </w:pPr>
      <w:r>
        <w:rPr>
          <w:rStyle w:val="None"/>
          <w:color w:val="0432ff"/>
          <w:sz w:val="24"/>
          <w:szCs w:val="24"/>
          <w:vertAlign w:val="baseline"/>
          <w:rtl w:val="0"/>
          <w:lang w:val="en-US"/>
        </w:rPr>
        <w:t>Loctite Stycast 2850FT</w:t>
      </w:r>
    </w:p>
    <w:p>
      <w:pPr>
        <w:pStyle w:val="Body"/>
        <w:numPr>
          <w:ilvl w:val="1"/>
          <w:numId w:val="4"/>
        </w:numPr>
        <w:bidi w:val="0"/>
        <w:ind w:right="0"/>
        <w:jc w:val="left"/>
        <w:rPr>
          <w:rStyle w:val="None"/>
          <w:color w:val="0432ff"/>
          <w:sz w:val="24"/>
          <w:szCs w:val="24"/>
          <w:vertAlign w:val="baseline"/>
          <w:rtl w:val="0"/>
          <w:lang w:val="en-US"/>
        </w:rPr>
      </w:pPr>
      <w:r>
        <w:rPr>
          <w:rStyle w:val="None"/>
          <w:color w:val="0432ff"/>
          <w:sz w:val="24"/>
          <w:szCs w:val="24"/>
          <w:vertAlign w:val="baseline"/>
          <w:rtl w:val="0"/>
          <w:lang w:val="en-US"/>
        </w:rPr>
        <w:t>Loctite Catalyst 24LV</w:t>
      </w:r>
    </w:p>
    <w:p>
      <w:pPr>
        <w:pStyle w:val="Body"/>
        <w:numPr>
          <w:ilvl w:val="1"/>
          <w:numId w:val="4"/>
        </w:numPr>
        <w:bidi w:val="0"/>
        <w:ind w:right="0"/>
        <w:jc w:val="left"/>
        <w:rPr>
          <w:rStyle w:val="None"/>
          <w:sz w:val="24"/>
          <w:szCs w:val="24"/>
          <w:rtl w:val="0"/>
          <w:lang w:val="en-US"/>
        </w:rPr>
      </w:pPr>
      <w:r>
        <w:rPr>
          <w:rStyle w:val="None"/>
          <w:color w:val="0432ff"/>
          <w:sz w:val="24"/>
          <w:szCs w:val="24"/>
          <w:vertAlign w:val="baseline"/>
          <w:rtl w:val="0"/>
          <w:lang w:val="en-US"/>
        </w:rPr>
        <w:t>GE Varnish (VGE-7301)/Ethanol solution (75% by volume VGE-7301, 25% by volume ethanol)</w:t>
      </w:r>
    </w:p>
    <w:p>
      <w:pPr>
        <w:pStyle w:val="Body"/>
        <w:numPr>
          <w:ilvl w:val="0"/>
          <w:numId w:val="2"/>
        </w:numPr>
        <w:bidi w:val="0"/>
        <w:ind w:right="0"/>
        <w:jc w:val="left"/>
        <w:rPr>
          <w:rStyle w:val="None"/>
          <w:sz w:val="24"/>
          <w:szCs w:val="24"/>
          <w:vertAlign w:val="baseline"/>
          <w:rtl w:val="0"/>
          <w:lang w:val="en-US"/>
        </w:rPr>
      </w:pPr>
      <w:r>
        <w:rPr>
          <w:rStyle w:val="None"/>
          <w:b w:val="1"/>
          <w:bCs w:val="1"/>
          <w:sz w:val="24"/>
          <w:szCs w:val="24"/>
          <w:vertAlign w:val="baseline"/>
          <w:rtl w:val="0"/>
          <w:lang w:val="en-US"/>
        </w:rPr>
        <w:t>Vendor/manufacturer info:</w:t>
      </w:r>
      <w:r>
        <w:rPr>
          <w:rStyle w:val="None"/>
          <w:sz w:val="24"/>
          <w:szCs w:val="24"/>
          <w:vertAlign w:val="baseline"/>
          <w:rtl w:val="0"/>
          <w:lang w:val="en-US"/>
        </w:rPr>
        <w:t xml:space="preserve"> address and phone number, website URL.</w:t>
      </w:r>
    </w:p>
    <w:p>
      <w:pPr>
        <w:pStyle w:val="Body"/>
        <w:numPr>
          <w:ilvl w:val="1"/>
          <w:numId w:val="2"/>
        </w:numPr>
        <w:bidi w:val="0"/>
        <w:ind w:right="0"/>
        <w:jc w:val="left"/>
        <w:rPr>
          <w:rStyle w:val="None"/>
          <w:color w:val="0432ff"/>
          <w:sz w:val="24"/>
          <w:szCs w:val="24"/>
          <w:vertAlign w:val="baseline"/>
          <w:rtl w:val="0"/>
          <w:lang w:val="en-US"/>
        </w:rPr>
      </w:pPr>
      <w:r>
        <w:rPr>
          <w:rStyle w:val="None"/>
          <w:color w:val="0432ff"/>
          <w:sz w:val="24"/>
          <w:szCs w:val="24"/>
          <w:vertAlign w:val="baseline"/>
          <w:rtl w:val="0"/>
          <w:lang w:val="en-US"/>
        </w:rPr>
        <w:t>Stycast 2085FT</w:t>
      </w:r>
    </w:p>
    <w:p>
      <w:pPr>
        <w:pStyle w:val="Body"/>
        <w:numPr>
          <w:ilvl w:val="2"/>
          <w:numId w:val="2"/>
        </w:numPr>
        <w:bidi w:val="0"/>
        <w:ind w:right="0"/>
        <w:jc w:val="left"/>
        <w:rPr>
          <w:rStyle w:val="None"/>
          <w:color w:val="0432ff"/>
          <w:sz w:val="24"/>
          <w:szCs w:val="24"/>
          <w:vertAlign w:val="baseline"/>
          <w:rtl w:val="0"/>
          <w:lang w:val="en-US"/>
        </w:rPr>
      </w:pPr>
      <w:r>
        <w:rPr>
          <w:rStyle w:val="None"/>
          <w:color w:val="0432ff"/>
          <w:sz w:val="24"/>
          <w:szCs w:val="24"/>
          <w:vertAlign w:val="baseline"/>
          <w:rtl w:val="0"/>
          <w:lang w:val="en-US"/>
        </w:rPr>
        <w:t xml:space="preserve">Vendor website (Digikey): </w:t>
      </w:r>
      <w:r>
        <w:rPr>
          <w:rStyle w:val="Hyperlink.1"/>
          <w:color w:val="0000ff"/>
          <w:sz w:val="24"/>
          <w:szCs w:val="24"/>
          <w:u w:val="single" w:color="0000ff"/>
        </w:rPr>
        <w:fldChar w:fldCharType="begin" w:fldLock="0"/>
      </w:r>
      <w:r>
        <w:rPr>
          <w:rStyle w:val="Hyperlink.1"/>
          <w:color w:val="0000ff"/>
          <w:sz w:val="24"/>
          <w:szCs w:val="24"/>
          <w:u w:val="single" w:color="0000ff"/>
        </w:rPr>
        <w:instrText xml:space="preserve"> HYPERLINK "https://www.digikey.com/catalog/en/partgroup/loctite-stycast-2850ft-and-loctite-stycast-2850kt-catalyst-11-series/87425"</w:instrText>
      </w:r>
      <w:r>
        <w:rPr>
          <w:rStyle w:val="Hyperlink.1"/>
          <w:color w:val="0000ff"/>
          <w:sz w:val="24"/>
          <w:szCs w:val="24"/>
          <w:u w:val="single" w:color="0000ff"/>
        </w:rPr>
        <w:fldChar w:fldCharType="separate" w:fldLock="0"/>
      </w:r>
      <w:r>
        <w:rPr>
          <w:rStyle w:val="Hyperlink.1"/>
          <w:color w:val="0000ff"/>
          <w:sz w:val="24"/>
          <w:szCs w:val="24"/>
          <w:u w:val="single" w:color="0000ff"/>
          <w:rtl w:val="0"/>
          <w:lang w:val="en-US"/>
        </w:rPr>
        <w:t>https://www.digikey.com/catalog/en/partgroup/loctite-stycast-2850ft-and-loctite-stycast-2850kt-catalyst-11-series/87425</w:t>
      </w:r>
      <w:r>
        <w:rPr>
          <w:color w:val="0432ff"/>
          <w:sz w:val="24"/>
          <w:szCs w:val="24"/>
        </w:rPr>
        <w:fldChar w:fldCharType="end" w:fldLock="0"/>
      </w:r>
      <w:r>
        <w:rPr>
          <w:rStyle w:val="None"/>
          <w:color w:val="0432ff"/>
          <w:sz w:val="24"/>
          <w:szCs w:val="24"/>
          <w:vertAlign w:val="baseline"/>
          <w:rtl w:val="0"/>
          <w:lang w:val="en-US"/>
        </w:rPr>
        <w:t xml:space="preserve"> </w:t>
      </w:r>
    </w:p>
    <w:p>
      <w:pPr>
        <w:pStyle w:val="Body"/>
        <w:numPr>
          <w:ilvl w:val="2"/>
          <w:numId w:val="2"/>
        </w:numPr>
        <w:bidi w:val="0"/>
        <w:ind w:right="0"/>
        <w:jc w:val="left"/>
        <w:rPr>
          <w:rStyle w:val="None"/>
          <w:color w:val="0432ff"/>
          <w:sz w:val="24"/>
          <w:szCs w:val="24"/>
          <w:vertAlign w:val="baseline"/>
          <w:rtl w:val="0"/>
          <w:lang w:val="en-US"/>
        </w:rPr>
      </w:pPr>
      <w:r>
        <w:rPr>
          <w:rStyle w:val="None"/>
          <w:color w:val="0432ff"/>
          <w:sz w:val="24"/>
          <w:szCs w:val="24"/>
          <w:vertAlign w:val="baseline"/>
          <w:rtl w:val="0"/>
          <w:lang w:val="en-US"/>
        </w:rPr>
        <w:t xml:space="preserve">Manufacturer website (Henkel): </w:t>
      </w:r>
      <w:r>
        <w:rPr>
          <w:rStyle w:val="Hyperlink.1"/>
          <w:color w:val="0000ff"/>
          <w:sz w:val="24"/>
          <w:szCs w:val="24"/>
          <w:u w:val="single" w:color="0000ff"/>
        </w:rPr>
        <w:fldChar w:fldCharType="begin" w:fldLock="0"/>
      </w:r>
      <w:r>
        <w:rPr>
          <w:rStyle w:val="Hyperlink.1"/>
          <w:color w:val="0000ff"/>
          <w:sz w:val="24"/>
          <w:szCs w:val="24"/>
          <w:u w:val="single" w:color="0000ff"/>
        </w:rPr>
        <w:instrText xml:space="preserve"> HYPERLINK "https://www.henkel-adhesives.com/us/en/product/potting-compounds/loctite_stycast_2850ft.html"</w:instrText>
      </w:r>
      <w:r>
        <w:rPr>
          <w:rStyle w:val="Hyperlink.1"/>
          <w:color w:val="0000ff"/>
          <w:sz w:val="24"/>
          <w:szCs w:val="24"/>
          <w:u w:val="single" w:color="0000ff"/>
        </w:rPr>
        <w:fldChar w:fldCharType="separate" w:fldLock="0"/>
      </w:r>
      <w:r>
        <w:rPr>
          <w:rStyle w:val="Hyperlink.1"/>
          <w:color w:val="0000ff"/>
          <w:sz w:val="24"/>
          <w:szCs w:val="24"/>
          <w:u w:val="single" w:color="0000ff"/>
          <w:rtl w:val="0"/>
          <w:lang w:val="en-US"/>
        </w:rPr>
        <w:t>https://www.henkel-adhesives.com/us/en/product/potting-compounds/loctite_stycast_2850ft.html</w:t>
      </w:r>
      <w:r>
        <w:rPr>
          <w:color w:val="0432ff"/>
          <w:sz w:val="24"/>
          <w:szCs w:val="24"/>
        </w:rPr>
        <w:fldChar w:fldCharType="end" w:fldLock="0"/>
      </w:r>
    </w:p>
    <w:p>
      <w:pPr>
        <w:pStyle w:val="Body"/>
        <w:numPr>
          <w:ilvl w:val="1"/>
          <w:numId w:val="2"/>
        </w:numPr>
        <w:bidi w:val="0"/>
        <w:ind w:right="0"/>
        <w:jc w:val="left"/>
        <w:rPr>
          <w:rStyle w:val="None"/>
          <w:color w:val="0432ff"/>
          <w:sz w:val="24"/>
          <w:szCs w:val="24"/>
          <w:vertAlign w:val="baseline"/>
          <w:rtl w:val="0"/>
          <w:lang w:val="en-US"/>
        </w:rPr>
      </w:pPr>
      <w:r>
        <w:rPr>
          <w:rStyle w:val="None"/>
          <w:color w:val="0432ff"/>
          <w:sz w:val="24"/>
          <w:szCs w:val="24"/>
          <w:vertAlign w:val="baseline"/>
          <w:rtl w:val="0"/>
          <w:lang w:val="en-US"/>
        </w:rPr>
        <w:t>Catalyst 24LV</w:t>
      </w:r>
    </w:p>
    <w:p>
      <w:pPr>
        <w:pStyle w:val="Body"/>
        <w:numPr>
          <w:ilvl w:val="2"/>
          <w:numId w:val="2"/>
        </w:numPr>
        <w:bidi w:val="0"/>
        <w:ind w:right="0"/>
        <w:jc w:val="left"/>
        <w:rPr>
          <w:rStyle w:val="None"/>
          <w:color w:val="0432ff"/>
          <w:sz w:val="24"/>
          <w:szCs w:val="24"/>
          <w:vertAlign w:val="baseline"/>
          <w:rtl w:val="0"/>
          <w:lang w:val="en-US"/>
        </w:rPr>
      </w:pPr>
      <w:r>
        <w:rPr>
          <w:rStyle w:val="None"/>
          <w:color w:val="0432ff"/>
          <w:sz w:val="24"/>
          <w:szCs w:val="24"/>
          <w:vertAlign w:val="baseline"/>
          <w:rtl w:val="0"/>
          <w:lang w:val="en-US"/>
        </w:rPr>
        <w:t xml:space="preserve">Vendor website (Digikey): </w:t>
      </w:r>
      <w:r>
        <w:rPr>
          <w:rStyle w:val="Hyperlink.1"/>
          <w:color w:val="0000ff"/>
          <w:sz w:val="24"/>
          <w:szCs w:val="24"/>
          <w:u w:val="single" w:color="0000ff"/>
        </w:rPr>
        <w:fldChar w:fldCharType="begin" w:fldLock="0"/>
      </w:r>
      <w:r>
        <w:rPr>
          <w:rStyle w:val="Hyperlink.1"/>
          <w:color w:val="0000ff"/>
          <w:sz w:val="24"/>
          <w:szCs w:val="24"/>
          <w:u w:val="single" w:color="0000ff"/>
        </w:rPr>
        <w:instrText xml:space="preserve"> HYPERLINK "https://www.digikey.com/catalog/en/partgroup/loctite-stycast-2850ft-and-loctite-stycast-2850kt-catalyst-11-series/87425"</w:instrText>
      </w:r>
      <w:r>
        <w:rPr>
          <w:rStyle w:val="Hyperlink.1"/>
          <w:color w:val="0000ff"/>
          <w:sz w:val="24"/>
          <w:szCs w:val="24"/>
          <w:u w:val="single" w:color="0000ff"/>
        </w:rPr>
        <w:fldChar w:fldCharType="separate" w:fldLock="0"/>
      </w:r>
      <w:r>
        <w:rPr>
          <w:rStyle w:val="Hyperlink.1"/>
          <w:color w:val="0000ff"/>
          <w:sz w:val="24"/>
          <w:szCs w:val="24"/>
          <w:u w:val="single" w:color="0000ff"/>
          <w:rtl w:val="0"/>
          <w:lang w:val="en-US"/>
        </w:rPr>
        <w:t>https://www.digikey.com/catalog/en/partgroup/loctite-stycast-2850ft-and-loctite-stycast-2850kt-catalyst-11-series/87425</w:t>
      </w:r>
      <w:r>
        <w:rPr>
          <w:color w:val="0432ff"/>
          <w:sz w:val="24"/>
          <w:szCs w:val="24"/>
        </w:rPr>
        <w:fldChar w:fldCharType="end" w:fldLock="0"/>
      </w:r>
      <w:r>
        <w:rPr>
          <w:rStyle w:val="None"/>
          <w:color w:val="0432ff"/>
          <w:sz w:val="24"/>
          <w:szCs w:val="24"/>
          <w:vertAlign w:val="baseline"/>
          <w:rtl w:val="0"/>
          <w:lang w:val="en-US"/>
        </w:rPr>
        <w:t xml:space="preserve"> (same as above)</w:t>
      </w:r>
    </w:p>
    <w:p>
      <w:pPr>
        <w:pStyle w:val="Body"/>
        <w:numPr>
          <w:ilvl w:val="2"/>
          <w:numId w:val="2"/>
        </w:numPr>
        <w:bidi w:val="0"/>
        <w:ind w:right="0"/>
        <w:jc w:val="left"/>
        <w:rPr>
          <w:rStyle w:val="None"/>
          <w:color w:val="0432ff"/>
          <w:sz w:val="24"/>
          <w:szCs w:val="24"/>
          <w:vertAlign w:val="baseline"/>
          <w:rtl w:val="0"/>
          <w:lang w:val="en-US"/>
        </w:rPr>
      </w:pPr>
      <w:r>
        <w:rPr>
          <w:rStyle w:val="None"/>
          <w:color w:val="0432ff"/>
          <w:sz w:val="24"/>
          <w:szCs w:val="24"/>
          <w:vertAlign w:val="baseline"/>
          <w:rtl w:val="0"/>
          <w:lang w:val="en-US"/>
        </w:rPr>
        <w:t xml:space="preserve">Manufacturer website (Henkel): </w:t>
      </w:r>
      <w:r>
        <w:rPr>
          <w:rStyle w:val="Hyperlink.1"/>
          <w:color w:val="0000ff"/>
          <w:sz w:val="24"/>
          <w:szCs w:val="24"/>
          <w:u w:val="single" w:color="0000ff"/>
        </w:rPr>
        <w:fldChar w:fldCharType="begin" w:fldLock="0"/>
      </w:r>
      <w:r>
        <w:rPr>
          <w:rStyle w:val="Hyperlink.1"/>
          <w:color w:val="0000ff"/>
          <w:sz w:val="24"/>
          <w:szCs w:val="24"/>
          <w:u w:val="single" w:color="0000ff"/>
        </w:rPr>
        <w:instrText xml:space="preserve"> HYPERLINK "https://www.henkel-adhesives.com/us/en/product/encapsulants/loctite_stycast_2850ktcat24lv.html"</w:instrText>
      </w:r>
      <w:r>
        <w:rPr>
          <w:rStyle w:val="Hyperlink.1"/>
          <w:color w:val="0000ff"/>
          <w:sz w:val="24"/>
          <w:szCs w:val="24"/>
          <w:u w:val="single" w:color="0000ff"/>
        </w:rPr>
        <w:fldChar w:fldCharType="separate" w:fldLock="0"/>
      </w:r>
      <w:r>
        <w:rPr>
          <w:rStyle w:val="Hyperlink.1"/>
          <w:color w:val="0000ff"/>
          <w:sz w:val="24"/>
          <w:szCs w:val="24"/>
          <w:u w:val="single" w:color="0000ff"/>
          <w:rtl w:val="0"/>
          <w:lang w:val="en-US"/>
        </w:rPr>
        <w:t>https://www.henkel-adhesives.com/us/en/product/encapsulants/loctite_stycast_2850ktcat24lv.html</w:t>
      </w:r>
      <w:r>
        <w:rPr>
          <w:color w:val="0432ff"/>
          <w:sz w:val="24"/>
          <w:szCs w:val="24"/>
        </w:rPr>
        <w:fldChar w:fldCharType="end" w:fldLock="0"/>
      </w:r>
      <w:r>
        <w:rPr>
          <w:rStyle w:val="None"/>
          <w:color w:val="0432ff"/>
          <w:sz w:val="24"/>
          <w:szCs w:val="24"/>
          <w:vertAlign w:val="baseline"/>
          <w:rtl w:val="0"/>
          <w:lang w:val="en-US"/>
        </w:rPr>
        <w:t xml:space="preserve"> </w:t>
      </w:r>
    </w:p>
    <w:p>
      <w:pPr>
        <w:pStyle w:val="Body"/>
        <w:numPr>
          <w:ilvl w:val="1"/>
          <w:numId w:val="2"/>
        </w:numPr>
        <w:bidi w:val="0"/>
        <w:ind w:right="0"/>
        <w:jc w:val="left"/>
        <w:rPr>
          <w:rStyle w:val="None"/>
          <w:color w:val="0432ff"/>
          <w:sz w:val="24"/>
          <w:szCs w:val="24"/>
          <w:vertAlign w:val="baseline"/>
          <w:rtl w:val="0"/>
          <w:lang w:val="en-US"/>
        </w:rPr>
      </w:pPr>
      <w:r>
        <w:rPr>
          <w:rStyle w:val="None"/>
          <w:color w:val="0432ff"/>
          <w:sz w:val="24"/>
          <w:szCs w:val="24"/>
          <w:vertAlign w:val="baseline"/>
          <w:rtl w:val="0"/>
          <w:lang w:val="en-US"/>
        </w:rPr>
        <w:t>GE Varnish (VGE-7301)/Ethanol</w:t>
      </w:r>
    </w:p>
    <w:p>
      <w:pPr>
        <w:pStyle w:val="Body"/>
        <w:numPr>
          <w:ilvl w:val="2"/>
          <w:numId w:val="2"/>
        </w:numPr>
        <w:bidi w:val="0"/>
        <w:ind w:right="0"/>
        <w:jc w:val="left"/>
        <w:rPr>
          <w:rStyle w:val="None"/>
          <w:color w:val="0432ff"/>
          <w:sz w:val="24"/>
          <w:szCs w:val="24"/>
          <w:rtl w:val="0"/>
          <w:lang w:val="en-US"/>
        </w:rPr>
      </w:pPr>
      <w:r>
        <w:rPr>
          <w:rStyle w:val="None"/>
          <w:color w:val="0432ff"/>
          <w:sz w:val="24"/>
          <w:szCs w:val="24"/>
          <w:vertAlign w:val="baseline"/>
          <w:rtl w:val="0"/>
          <w:lang w:val="en-US"/>
        </w:rPr>
        <w:t xml:space="preserve">Vendor &amp; Manufacturer website (Lakeshore): </w:t>
      </w:r>
      <w:r>
        <w:rPr>
          <w:rStyle w:val="Hyperlink.1"/>
          <w:color w:val="0000ff"/>
          <w:sz w:val="24"/>
          <w:szCs w:val="24"/>
          <w:u w:val="single" w:color="0000ff"/>
        </w:rPr>
        <w:fldChar w:fldCharType="begin" w:fldLock="0"/>
      </w:r>
      <w:r>
        <w:rPr>
          <w:rStyle w:val="Hyperlink.1"/>
          <w:color w:val="0000ff"/>
          <w:sz w:val="24"/>
          <w:szCs w:val="24"/>
          <w:u w:val="single" w:color="0000ff"/>
        </w:rPr>
        <w:instrText xml:space="preserve"> HYPERLINK "https://www.lakeshore.com/products/categories/overview/temperature-products/cryogenic-accessories/varnish"</w:instrText>
      </w:r>
      <w:r>
        <w:rPr>
          <w:rStyle w:val="Hyperlink.1"/>
          <w:color w:val="0000ff"/>
          <w:sz w:val="24"/>
          <w:szCs w:val="24"/>
          <w:u w:val="single" w:color="0000ff"/>
        </w:rPr>
        <w:fldChar w:fldCharType="separate" w:fldLock="0"/>
      </w:r>
      <w:r>
        <w:rPr>
          <w:rStyle w:val="Hyperlink.1"/>
          <w:color w:val="0000ff"/>
          <w:sz w:val="24"/>
          <w:szCs w:val="24"/>
          <w:u w:val="single" w:color="0000ff"/>
          <w:rtl w:val="0"/>
          <w:lang w:val="en-US"/>
        </w:rPr>
        <w:t>https://www.lakeshore.com/products/categories/overview/temperature-products/cryogenic-accessories/varnish</w:t>
      </w:r>
      <w:r>
        <w:rPr>
          <w:color w:val="0432ff"/>
          <w:sz w:val="24"/>
          <w:szCs w:val="24"/>
        </w:rPr>
        <w:fldChar w:fldCharType="end" w:fldLock="0"/>
      </w:r>
    </w:p>
    <w:p>
      <w:pPr>
        <w:pStyle w:val="Body"/>
        <w:numPr>
          <w:ilvl w:val="0"/>
          <w:numId w:val="2"/>
        </w:numPr>
        <w:bidi w:val="0"/>
        <w:ind w:right="0"/>
        <w:jc w:val="left"/>
        <w:rPr>
          <w:rStyle w:val="None"/>
          <w:sz w:val="24"/>
          <w:szCs w:val="24"/>
          <w:vertAlign w:val="baseline"/>
          <w:rtl w:val="0"/>
          <w:lang w:val="en-US"/>
        </w:rPr>
      </w:pPr>
      <w:r>
        <w:rPr>
          <w:rStyle w:val="None"/>
          <w:b w:val="1"/>
          <w:bCs w:val="1"/>
          <w:sz w:val="24"/>
          <w:szCs w:val="24"/>
          <w:vertAlign w:val="baseline"/>
          <w:rtl w:val="0"/>
          <w:lang w:val="en-US"/>
        </w:rPr>
        <w:t>Reason for request:</w:t>
      </w:r>
      <w:r>
        <w:rPr>
          <w:rStyle w:val="None"/>
          <w:sz w:val="24"/>
          <w:szCs w:val="24"/>
          <w:vertAlign w:val="baseline"/>
          <w:rtl w:val="0"/>
          <w:lang w:val="en-US"/>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pPr>
        <w:pStyle w:val="Body"/>
        <w:bidi w:val="0"/>
        <w:ind w:left="0" w:right="0" w:firstLine="0"/>
        <w:jc w:val="left"/>
        <w:rPr>
          <w:rStyle w:val="None"/>
          <w:sz w:val="24"/>
          <w:szCs w:val="24"/>
          <w:rtl w:val="0"/>
        </w:rPr>
      </w:pPr>
      <w:r>
        <w:rPr>
          <w:rStyle w:val="None"/>
          <w:sz w:val="24"/>
          <w:szCs w:val="24"/>
          <w:vertAlign w:val="baseline"/>
        </w:rPr>
        <w:tab/>
      </w:r>
      <w:r>
        <w:rPr>
          <w:rStyle w:val="None"/>
          <w:color w:val="0432ff"/>
          <w:sz w:val="24"/>
          <w:szCs w:val="24"/>
          <w:vertAlign w:val="baseline"/>
          <w:rtl w:val="0"/>
          <w:lang w:val="en-US"/>
        </w:rPr>
        <w:t>I am developing a non-galvanic flip chip bonding method, using epoxy or photoresist as a bonding agent. This process gives us more control in our bonding separation than indium bump-type bonding while keeping our circuit parameters unchanged. The process requires less than a nanoliter drop of epoxy to be applied onto two edges of the top chip surface chip with a needle or pipette. We have tried using SPR 220-7 photoresist, but it is too brittle to be thermal cycled in a dilution refrigerator; our</w:t>
      </w:r>
      <w:r>
        <w:rPr>
          <w:sz w:val="24"/>
          <w:szCs w:val="24"/>
          <w:rtl w:val="0"/>
        </w:rPr>
        <w:t xml:space="preserve"> </w:t>
      </w:r>
      <w:r>
        <w:rPr>
          <w:rStyle w:val="None"/>
          <w:color w:val="0432ff"/>
          <w:sz w:val="24"/>
          <w:szCs w:val="24"/>
          <w:rtl w:val="0"/>
          <w:lang w:val="en-US"/>
        </w:rPr>
        <w:t>SPR 220-7 between the two chips</w:t>
      </w:r>
      <w:r>
        <w:rPr>
          <w:rStyle w:val="None"/>
          <w:color w:val="0432ff"/>
          <w:sz w:val="24"/>
          <w:szCs w:val="24"/>
          <w:vertAlign w:val="baseline"/>
          <w:rtl w:val="0"/>
          <w:lang w:val="en-US"/>
        </w:rPr>
        <w:t xml:space="preserve"> fractures during a second thermal cycling to 4K, and we need our chips to thermal cycle at minimum 3 times (but it could certainly be more based on experimental needs). To solve this problem, I have thermal cycled two sets of old broken chips (Al on Si): one set bonded with VGE-7301, one set bonded with Stycast 2850 epoxy + catalyst 24LV. Both survived 3 thermal cycles, with no signs of brittleness. Thus, we have the data to demonstrate that we need these agents to allow us to continue with non-galvanic flip chip bonding. We would like to request both </w:t>
      </w:r>
      <w:r>
        <w:rPr>
          <w:rStyle w:val="None"/>
          <w:color w:val="0432ff"/>
          <w:sz w:val="24"/>
          <w:szCs w:val="24"/>
          <w:rtl w:val="0"/>
          <w:lang w:val="en-US"/>
        </w:rPr>
        <w:t>VGE-7301 and Stycast+Catalyst</w:t>
      </w:r>
      <w:r>
        <w:rPr>
          <w:rStyle w:val="None"/>
          <w:color w:val="0432ff"/>
          <w:sz w:val="24"/>
          <w:szCs w:val="24"/>
          <w:vertAlign w:val="baseline"/>
          <w:rtl w:val="0"/>
          <w:lang w:val="en-US"/>
        </w:rPr>
        <w:t xml:space="preserve"> because we are not sure if either will effect the quality factors of our fabricated devices, which can only be tested after we completely fabricate good devices of both bonding types in the cleanroom. </w:t>
      </w:r>
    </w:p>
    <w:p>
      <w:pPr>
        <w:pStyle w:val="Body"/>
        <w:numPr>
          <w:ilvl w:val="0"/>
          <w:numId w:val="2"/>
        </w:numPr>
        <w:bidi w:val="0"/>
        <w:ind w:right="0"/>
        <w:jc w:val="left"/>
        <w:rPr>
          <w:rStyle w:val="None"/>
          <w:sz w:val="24"/>
          <w:szCs w:val="24"/>
          <w:rtl w:val="0"/>
          <w:lang w:val="en-US"/>
        </w:rPr>
      </w:pPr>
      <w:r>
        <w:rPr>
          <w:rStyle w:val="None"/>
          <w:b w:val="1"/>
          <w:bCs w:val="1"/>
          <w:sz w:val="24"/>
          <w:szCs w:val="24"/>
          <w:vertAlign w:val="baseline"/>
          <w:rtl w:val="0"/>
          <w:lang w:val="en-US"/>
        </w:rPr>
        <w:t>Process Flow:</w:t>
      </w:r>
      <w:r>
        <w:rPr>
          <w:rStyle w:val="None"/>
          <w:sz w:val="24"/>
          <w:szCs w:val="24"/>
          <w:vertAlign w:val="baseline"/>
          <w:rtl w:val="0"/>
          <w:lang w:val="en-US"/>
        </w:rPr>
        <w:t xml:space="preserve"> Please provide a detailed process flow description on how and where you proposed to use this chemical. This should include </w:t>
      </w:r>
      <w:r>
        <w:rPr>
          <w:rStyle w:val="None"/>
          <w:b w:val="1"/>
          <w:bCs w:val="1"/>
          <w:sz w:val="24"/>
          <w:szCs w:val="24"/>
          <w:vertAlign w:val="baseline"/>
          <w:rtl w:val="0"/>
        </w:rPr>
        <w:t>all</w:t>
      </w:r>
      <w:r>
        <w:rPr>
          <w:rStyle w:val="None"/>
          <w:sz w:val="24"/>
          <w:szCs w:val="24"/>
          <w:vertAlign w:val="baseline"/>
          <w:rtl w:val="0"/>
        </w:rPr>
        <w:t xml:space="preserve"> </w:t>
      </w:r>
      <w:r>
        <w:rPr>
          <w:rStyle w:val="None"/>
          <w:b w:val="1"/>
          <w:bCs w:val="1"/>
          <w:sz w:val="24"/>
          <w:szCs w:val="24"/>
          <w:vertAlign w:val="baseline"/>
          <w:rtl w:val="0"/>
          <w:lang w:val="en-US"/>
        </w:rPr>
        <w:t xml:space="preserve">Lab equipment </w:t>
      </w:r>
      <w:r>
        <w:rPr>
          <w:rStyle w:val="None"/>
          <w:sz w:val="24"/>
          <w:szCs w:val="24"/>
          <w:vertAlign w:val="baseline"/>
          <w:rtl w:val="0"/>
          <w:lang w:val="en-US"/>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pPr>
        <w:pStyle w:val="Body"/>
        <w:rPr>
          <w:rStyle w:val="None"/>
          <w:color w:val="0432ff"/>
          <w:sz w:val="24"/>
          <w:szCs w:val="24"/>
        </w:rPr>
      </w:pPr>
      <w:r>
        <w:rPr>
          <w:rStyle w:val="None"/>
          <w:sz w:val="24"/>
          <w:szCs w:val="24"/>
        </w:rPr>
        <w:tab/>
      </w:r>
      <w:r>
        <w:rPr>
          <w:rStyle w:val="None"/>
          <w:color w:val="0432ff"/>
          <w:sz w:val="24"/>
          <w:szCs w:val="24"/>
          <w:rtl w:val="0"/>
          <w:lang w:val="en-US"/>
        </w:rPr>
        <w:t>Step 1: Enable the Flip Chip Bonder tool (contaminated category) in ExFab. Align our top chip and prepare the recipe</w:t>
      </w:r>
    </w:p>
    <w:p>
      <w:pPr>
        <w:pStyle w:val="Body"/>
        <w:rPr>
          <w:color w:val="0432ff"/>
          <w:sz w:val="24"/>
          <w:szCs w:val="24"/>
        </w:rPr>
      </w:pPr>
      <w:r>
        <w:rPr>
          <w:color w:val="0432ff"/>
          <w:sz w:val="24"/>
          <w:szCs w:val="24"/>
          <w:rtl w:val="0"/>
        </w:rPr>
        <w:tab/>
        <w:t>Step 2: Bring bottom chip to the ExFab solvent bench (all category). Place the Al on Si chip with SU-8 spacers (already in the contaminated category) on a piece of aluminum foil in case there is any epoxy runoff from the chip edge.</w:t>
      </w:r>
    </w:p>
    <w:p>
      <w:pPr>
        <w:pStyle w:val="Body"/>
        <w:rPr>
          <w:color w:val="0432ff"/>
          <w:sz w:val="24"/>
          <w:szCs w:val="24"/>
        </w:rPr>
      </w:pPr>
      <w:r>
        <w:rPr>
          <w:color w:val="0432ff"/>
          <w:sz w:val="24"/>
          <w:szCs w:val="24"/>
          <w:rtl w:val="0"/>
        </w:rPr>
        <w:tab/>
        <w:t xml:space="preserve">If VGE-7301: </w:t>
      </w:r>
    </w:p>
    <w:p>
      <w:pPr>
        <w:pStyle w:val="Body"/>
        <w:rPr>
          <w:color w:val="0432ff"/>
          <w:sz w:val="24"/>
          <w:szCs w:val="24"/>
        </w:rPr>
      </w:pPr>
      <w:r>
        <w:rPr>
          <w:color w:val="0432ff"/>
          <w:sz w:val="24"/>
          <w:szCs w:val="24"/>
          <w:rtl w:val="0"/>
        </w:rPr>
        <w:tab/>
        <w:tab/>
        <w:t>Step 3: Using a needle and syringe or another approved sharp, apply a nanoliter drop of VGE-7301 and spread along the length of the chip outside of the SU-8 spacer fabricated to separate the chips and keep the glue from the center of the chip. Repeat to place glue on the other length of the chip.</w:t>
      </w:r>
    </w:p>
    <w:p>
      <w:pPr>
        <w:pStyle w:val="Body"/>
        <w:rPr>
          <w:color w:val="0432ff"/>
          <w:sz w:val="24"/>
          <w:szCs w:val="24"/>
        </w:rPr>
      </w:pPr>
      <w:r>
        <w:rPr>
          <w:color w:val="0432ff"/>
          <w:sz w:val="24"/>
          <w:szCs w:val="24"/>
          <w:rtl w:val="0"/>
        </w:rPr>
        <w:tab/>
        <w:t xml:space="preserve">If Stycast 2850: </w:t>
      </w:r>
    </w:p>
    <w:p>
      <w:pPr>
        <w:pStyle w:val="Body"/>
        <w:rPr>
          <w:color w:val="0432ff"/>
          <w:sz w:val="24"/>
          <w:szCs w:val="24"/>
        </w:rPr>
      </w:pPr>
      <w:r>
        <w:rPr>
          <w:color w:val="0432ff"/>
          <w:sz w:val="24"/>
          <w:szCs w:val="24"/>
          <w:rtl w:val="0"/>
        </w:rPr>
        <w:tab/>
        <w:tab/>
        <w:t>Step 3: First mix the Stycast 2850 epoxy with the Catalyst 24LV at a 100:8 weight ratio. To mix, we will weigh the stycast and catalyst on a group scale into a plastic disposable mixing cup using a plastic stir bar. Using a needle and syringe or another approved sharp, apply a nanoliter drop of mixed Stycast and spread along the length of the chip outside of the SU-8 spacer fabricated to separate the chips and keep the glue from the center of the chip. Repeat to place glue on the other length of the chip.</w:t>
      </w:r>
    </w:p>
    <w:p>
      <w:pPr>
        <w:pStyle w:val="Body"/>
        <w:rPr>
          <w:color w:val="0432ff"/>
          <w:sz w:val="24"/>
          <w:szCs w:val="24"/>
        </w:rPr>
      </w:pPr>
      <w:r>
        <w:rPr>
          <w:color w:val="0432ff"/>
          <w:sz w:val="24"/>
          <w:szCs w:val="24"/>
          <w:rtl w:val="0"/>
        </w:rPr>
        <w:tab/>
        <w:t xml:space="preserve">Step 4: Bring the bottom chip back to the flip chip bonder and place on bottom vacuum substate holder. </w:t>
      </w:r>
    </w:p>
    <w:p>
      <w:pPr>
        <w:pStyle w:val="Body"/>
        <w:rPr>
          <w:color w:val="0432ff"/>
          <w:sz w:val="24"/>
          <w:szCs w:val="24"/>
        </w:rPr>
      </w:pPr>
      <w:r>
        <w:rPr>
          <w:color w:val="0432ff"/>
          <w:sz w:val="24"/>
          <w:szCs w:val="24"/>
          <w:rtl w:val="0"/>
        </w:rPr>
        <w:tab/>
        <w:t xml:space="preserve">Step 5: Return to the solvent bench and dispose of the glue waste. </w:t>
      </w:r>
    </w:p>
    <w:p>
      <w:pPr>
        <w:pStyle w:val="Body"/>
        <w:rPr>
          <w:color w:val="0432ff"/>
          <w:sz w:val="24"/>
          <w:szCs w:val="24"/>
        </w:rPr>
      </w:pPr>
      <w:r>
        <w:rPr>
          <w:color w:val="0432ff"/>
          <w:sz w:val="24"/>
          <w:szCs w:val="24"/>
          <w:rtl w:val="0"/>
        </w:rPr>
        <w:tab/>
        <w:t xml:space="preserve">Step 6: Align the chips using the flip chip bonder tool, bring the flip chip bonder arm down to bond the chips, enable temperature profile, and complete the non-galvanic bonding. Remove the chip and disable the flip chip bonder tool after the temperature profile completes. </w:t>
      </w:r>
    </w:p>
    <w:p>
      <w:pPr>
        <w:pStyle w:val="Body"/>
        <w:numPr>
          <w:ilvl w:val="0"/>
          <w:numId w:val="2"/>
        </w:numPr>
        <w:bidi w:val="0"/>
        <w:ind w:right="0"/>
        <w:jc w:val="left"/>
        <w:rPr>
          <w:rStyle w:val="None"/>
          <w:sz w:val="24"/>
          <w:szCs w:val="24"/>
          <w:vertAlign w:val="baseline"/>
          <w:rtl w:val="0"/>
          <w:lang w:val="en-US"/>
        </w:rPr>
      </w:pPr>
      <w:r>
        <w:rPr>
          <w:rStyle w:val="None"/>
          <w:b w:val="1"/>
          <w:bCs w:val="1"/>
          <w:sz w:val="24"/>
          <w:szCs w:val="24"/>
          <w:vertAlign w:val="baseline"/>
          <w:rtl w:val="0"/>
          <w:lang w:val="en-US"/>
        </w:rPr>
        <w:t xml:space="preserve">Amount and form. </w:t>
      </w:r>
      <w:r>
        <w:rPr>
          <w:rStyle w:val="None"/>
          <w:sz w:val="24"/>
          <w:szCs w:val="24"/>
          <w:vertAlign w:val="baseline"/>
          <w:rtl w:val="0"/>
          <w:lang w:val="en-US"/>
        </w:rPr>
        <w:t>How much will you bring in? Is it solid, powder or liquid? (Note: as a general rule, powders are not permitted in the cleanroom.) Do you need to mix it to use it?</w:t>
      </w:r>
    </w:p>
    <w:p>
      <w:pPr>
        <w:pStyle w:val="Body"/>
        <w:bidi w:val="0"/>
        <w:ind w:left="0" w:right="0" w:firstLine="0"/>
        <w:jc w:val="left"/>
        <w:rPr>
          <w:rStyle w:val="None"/>
          <w:sz w:val="24"/>
          <w:szCs w:val="24"/>
          <w:rtl w:val="0"/>
        </w:rPr>
      </w:pPr>
      <w:r>
        <w:rPr>
          <w:rStyle w:val="None"/>
          <w:sz w:val="24"/>
          <w:szCs w:val="24"/>
          <w:vertAlign w:val="baseline"/>
        </w:rPr>
        <w:tab/>
      </w:r>
      <w:r>
        <w:rPr>
          <w:rStyle w:val="None"/>
          <w:color w:val="0432ff"/>
          <w:sz w:val="24"/>
          <w:szCs w:val="24"/>
          <w:vertAlign w:val="baseline"/>
          <w:rtl w:val="0"/>
          <w:lang w:val="en-US"/>
        </w:rPr>
        <w:t xml:space="preserve">All three materials are in liquid form. Our </w:t>
      </w:r>
      <w:r>
        <w:rPr>
          <w:rStyle w:val="None"/>
          <w:color w:val="0432ff"/>
          <w:sz w:val="24"/>
          <w:szCs w:val="24"/>
          <w:rtl w:val="0"/>
          <w:lang w:val="en-US"/>
        </w:rPr>
        <w:t>VGE-7301</w:t>
      </w:r>
      <w:r>
        <w:rPr>
          <w:rStyle w:val="None"/>
          <w:color w:val="0432ff"/>
          <w:sz w:val="24"/>
          <w:szCs w:val="24"/>
          <w:vertAlign w:val="baseline"/>
          <w:rtl w:val="0"/>
          <w:lang w:val="en-US"/>
        </w:rPr>
        <w:t>/ethanol solution will be mixed before entering the cleanroom. The Stycast 2850 and Catalyst 24LV need to be mixed right before curing. We would like to bring in 30 mL of each material in separate cleaned jars.</w:t>
      </w:r>
    </w:p>
    <w:p>
      <w:pPr>
        <w:pStyle w:val="Body"/>
        <w:numPr>
          <w:ilvl w:val="0"/>
          <w:numId w:val="2"/>
        </w:numPr>
        <w:bidi w:val="0"/>
        <w:ind w:right="0"/>
        <w:jc w:val="left"/>
        <w:rPr>
          <w:rStyle w:val="None"/>
          <w:sz w:val="24"/>
          <w:szCs w:val="24"/>
          <w:vertAlign w:val="baseline"/>
          <w:rtl w:val="0"/>
          <w:lang w:val="it-IT"/>
        </w:rPr>
      </w:pPr>
      <w:r>
        <w:rPr>
          <w:rStyle w:val="None"/>
          <w:b w:val="1"/>
          <w:bCs w:val="1"/>
          <w:sz w:val="24"/>
          <w:szCs w:val="24"/>
          <w:vertAlign w:val="baseline"/>
          <w:rtl w:val="0"/>
          <w:lang w:val="it-IT"/>
        </w:rPr>
        <w:t xml:space="preserve">Storage: </w:t>
      </w:r>
      <w:r>
        <w:rPr>
          <w:rStyle w:val="None"/>
          <w:sz w:val="24"/>
          <w:szCs w:val="24"/>
          <w:vertAlign w:val="baseline"/>
          <w:rtl w:val="0"/>
          <w:lang w:val="en-US"/>
        </w:rPr>
        <w:t>Will you be storing your chemical/material at SNF? If so, please note any potential reactivity</w:t>
      </w:r>
      <w:r>
        <w:rPr>
          <w:rStyle w:val="None"/>
          <w:sz w:val="24"/>
          <w:szCs w:val="24"/>
          <w:vertAlign w:val="baseline"/>
          <w:rtl w:val="0"/>
        </w:rPr>
        <w:t>’</w:t>
      </w:r>
      <w:r>
        <w:rPr>
          <w:rStyle w:val="None"/>
          <w:sz w:val="24"/>
          <w:szCs w:val="24"/>
          <w:vertAlign w:val="baseline"/>
          <w:rtl w:val="0"/>
          <w:lang w:val="en-US"/>
        </w:rPr>
        <w:t xml:space="preserve">s (this should be on the MSDS). </w:t>
      </w:r>
      <w:r>
        <w:rPr>
          <w:rStyle w:val="Hyperlink.0"/>
          <w:sz w:val="24"/>
          <w:szCs w:val="24"/>
        </w:rPr>
        <w:fldChar w:fldCharType="begin" w:fldLock="0"/>
      </w:r>
      <w:r>
        <w:rPr>
          <w:rStyle w:val="Hyperlink.0"/>
          <w:sz w:val="24"/>
          <w:szCs w:val="24"/>
        </w:rPr>
        <w:instrText xml:space="preserve"> HYPERLINK "https://ehs.stanford.edu/forms-tools/stanford-storage-groups"</w:instrText>
      </w:r>
      <w:r>
        <w:rPr>
          <w:rStyle w:val="Hyperlink.0"/>
          <w:sz w:val="24"/>
          <w:szCs w:val="24"/>
        </w:rPr>
        <w:fldChar w:fldCharType="separate" w:fldLock="0"/>
      </w:r>
      <w:r>
        <w:rPr>
          <w:rStyle w:val="Hyperlink.0"/>
          <w:sz w:val="24"/>
          <w:szCs w:val="24"/>
          <w:rtl w:val="0"/>
          <w:lang w:val="en-US"/>
        </w:rPr>
        <w:t>Storage groups</w:t>
      </w:r>
      <w:r>
        <w:rPr>
          <w:sz w:val="24"/>
          <w:szCs w:val="24"/>
        </w:rPr>
        <w:fldChar w:fldCharType="end" w:fldLock="0"/>
      </w:r>
      <w:r>
        <w:rPr>
          <w:rStyle w:val="None"/>
          <w:sz w:val="24"/>
          <w:szCs w:val="24"/>
          <w:vertAlign w:val="baseline"/>
          <w:rtl w:val="0"/>
          <w:lang w:val="en-US"/>
        </w:rPr>
        <w:t xml:space="preserve"> A, B, D and L are stored in the yellow solvent cabinet in the furnace support area, while </w:t>
      </w:r>
      <w:r>
        <w:rPr>
          <w:rStyle w:val="Hyperlink.0"/>
          <w:sz w:val="24"/>
          <w:szCs w:val="24"/>
        </w:rPr>
        <w:fldChar w:fldCharType="begin" w:fldLock="0"/>
      </w:r>
      <w:r>
        <w:rPr>
          <w:rStyle w:val="Hyperlink.0"/>
          <w:sz w:val="24"/>
          <w:szCs w:val="24"/>
        </w:rPr>
        <w:instrText xml:space="preserve"> HYPERLINK "https://ehs.stanford.edu/forms-tools/stanford-storage-groups"</w:instrText>
      </w:r>
      <w:r>
        <w:rPr>
          <w:rStyle w:val="Hyperlink.0"/>
          <w:sz w:val="24"/>
          <w:szCs w:val="24"/>
        </w:rPr>
        <w:fldChar w:fldCharType="separate" w:fldLock="0"/>
      </w:r>
      <w:r>
        <w:rPr>
          <w:rStyle w:val="Hyperlink.0"/>
          <w:sz w:val="24"/>
          <w:szCs w:val="24"/>
          <w:rtl w:val="0"/>
          <w:lang w:val="en-US"/>
        </w:rPr>
        <w:t>storage groups</w:t>
      </w:r>
      <w:r>
        <w:rPr>
          <w:sz w:val="24"/>
          <w:szCs w:val="24"/>
        </w:rPr>
        <w:fldChar w:fldCharType="end" w:fldLock="0"/>
      </w:r>
      <w:r>
        <w:rPr>
          <w:rStyle w:val="None"/>
          <w:sz w:val="24"/>
          <w:szCs w:val="24"/>
          <w:vertAlign w:val="baseline"/>
          <w:rtl w:val="0"/>
          <w:lang w:val="en-US"/>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pPr>
        <w:pStyle w:val="Body"/>
        <w:bidi w:val="0"/>
        <w:ind w:left="0" w:right="0" w:firstLine="0"/>
        <w:jc w:val="left"/>
        <w:rPr>
          <w:color w:val="0432ff"/>
          <w:sz w:val="24"/>
          <w:szCs w:val="24"/>
          <w:rtl w:val="0"/>
        </w:rPr>
      </w:pPr>
      <w:r>
        <w:rPr>
          <w:rStyle w:val="None"/>
          <w:color w:val="0432ff"/>
          <w:sz w:val="24"/>
          <w:szCs w:val="24"/>
          <w:vertAlign w:val="baseline"/>
          <w:rtl w:val="0"/>
        </w:rPr>
        <w:tab/>
        <w:t xml:space="preserve">All three products are in storage group L, as they are solvent based. Thus, we would like to store these with other solvent materials, preferably near the ExFab Solvent Bench where they would ideally be used. </w:t>
      </w:r>
    </w:p>
    <w:p>
      <w:pPr>
        <w:pStyle w:val="Body"/>
        <w:numPr>
          <w:ilvl w:val="0"/>
          <w:numId w:val="2"/>
        </w:numPr>
        <w:pBdr>
          <w:top w:val="nil"/>
          <w:left w:val="nil"/>
          <w:bottom w:val="single" w:color="000000" w:sz="12" w:space="0" w:shadow="0" w:frame="0"/>
          <w:right w:val="nil"/>
        </w:pBdr>
        <w:bidi w:val="0"/>
        <w:ind w:right="0"/>
        <w:jc w:val="left"/>
        <w:rPr>
          <w:rStyle w:val="None"/>
          <w:sz w:val="24"/>
          <w:szCs w:val="24"/>
          <w:vertAlign w:val="baseline"/>
          <w:rtl w:val="0"/>
          <w:lang w:val="it-IT"/>
        </w:rPr>
      </w:pPr>
      <w:r>
        <w:rPr>
          <w:rStyle w:val="None"/>
          <w:b w:val="1"/>
          <w:bCs w:val="1"/>
          <w:sz w:val="24"/>
          <w:szCs w:val="24"/>
          <w:vertAlign w:val="baseline"/>
          <w:rtl w:val="0"/>
          <w:lang w:val="it-IT"/>
        </w:rPr>
        <w:t>Disposal</w:t>
      </w:r>
      <w:r>
        <w:rPr>
          <w:rStyle w:val="None"/>
          <w:sz w:val="24"/>
          <w:szCs w:val="24"/>
          <w:vertAlign w:val="baseline"/>
          <w:rtl w:val="0"/>
          <w:lang w:val="en-US"/>
        </w:rPr>
        <w:t xml:space="preserve">: How will you dispose of any waste or excess chemical or material? In your discussions with experts and vendors, try to determine the best way to dispose of your spent chemicals and by-products. Please refer to the </w:t>
      </w:r>
      <w:r>
        <w:rPr>
          <w:rStyle w:val="Hyperlink.0"/>
          <w:sz w:val="24"/>
          <w:szCs w:val="24"/>
        </w:rPr>
        <w:fldChar w:fldCharType="begin" w:fldLock="0"/>
      </w:r>
      <w:r>
        <w:rPr>
          <w:rStyle w:val="Hyperlink.0"/>
          <w:sz w:val="24"/>
          <w:szCs w:val="24"/>
        </w:rPr>
        <w:instrText xml:space="preserve"> HYPERLINK "http://snf.stanford.edu/labmembers/ManualII.pdf"</w:instrText>
      </w:r>
      <w:r>
        <w:rPr>
          <w:rStyle w:val="Hyperlink.0"/>
          <w:sz w:val="24"/>
          <w:szCs w:val="24"/>
        </w:rPr>
        <w:fldChar w:fldCharType="separate" w:fldLock="0"/>
      </w:r>
      <w:r>
        <w:rPr>
          <w:rStyle w:val="Hyperlink.0"/>
          <w:sz w:val="24"/>
          <w:szCs w:val="24"/>
          <w:rtl w:val="0"/>
          <w:lang w:val="en-US"/>
        </w:rPr>
        <w:t>SNF Lab members Safety Manual</w:t>
      </w:r>
      <w:r>
        <w:rPr>
          <w:sz w:val="24"/>
          <w:szCs w:val="24"/>
        </w:rPr>
        <w:fldChar w:fldCharType="end" w:fldLock="0"/>
      </w:r>
      <w:r>
        <w:rPr>
          <w:rStyle w:val="None"/>
          <w:sz w:val="24"/>
          <w:szCs w:val="24"/>
          <w:vertAlign w:val="baseline"/>
          <w:rtl w:val="0"/>
          <w:lang w:val="en-US"/>
        </w:rPr>
        <w:t xml:space="preserve"> for the different methods of waste disposal that are available in the</w:t>
      </w:r>
      <w:r>
        <w:rPr>
          <w:rStyle w:val="None"/>
          <w:sz w:val="24"/>
          <w:szCs w:val="24"/>
          <w:vertAlign w:val="baseline"/>
          <w:rtl w:val="0"/>
          <w:lang w:val="en-US"/>
        </w:rPr>
        <w:t xml:space="preserve"> </w:t>
      </w:r>
      <w:r>
        <w:rPr>
          <w:rStyle w:val="None"/>
          <w:sz w:val="24"/>
          <w:szCs w:val="24"/>
          <w:vertAlign w:val="baseline"/>
          <w:rtl w:val="0"/>
        </w:rPr>
        <w:t xml:space="preserve">lab. </w:t>
      </w:r>
    </w:p>
    <w:p>
      <w:pPr>
        <w:pStyle w:val="Body"/>
        <w:pBdr>
          <w:top w:val="nil"/>
          <w:left w:val="nil"/>
          <w:bottom w:val="single" w:color="000000" w:sz="12" w:space="0" w:shadow="0" w:frame="0"/>
          <w:right w:val="nil"/>
        </w:pBdr>
        <w:bidi w:val="0"/>
        <w:ind w:left="0" w:right="0" w:firstLine="0"/>
        <w:jc w:val="left"/>
        <w:rPr>
          <w:rStyle w:val="None"/>
          <w:color w:val="0432ff"/>
          <w:sz w:val="24"/>
          <w:szCs w:val="24"/>
          <w:vertAlign w:val="baseline"/>
          <w:rtl w:val="0"/>
        </w:rPr>
      </w:pPr>
      <w:r>
        <w:rPr>
          <w:rStyle w:val="None"/>
          <w:color w:val="0432ff"/>
          <w:sz w:val="24"/>
          <w:szCs w:val="24"/>
          <w:vertAlign w:val="baseline"/>
          <w:rtl w:val="0"/>
        </w:rPr>
        <w:tab/>
        <w:t xml:space="preserve">All of these products are solvent based, so they will be disposed of with solvent waste. The syringe and needle used for application will be place in a disposable bag and go in the box for solvent contaminated sharps. The foil used under the chip during application that may collect some of the materials will go in a disposable bag and go in solvent waste. </w:t>
      </w:r>
    </w:p>
    <w:p>
      <w:pPr>
        <w:pStyle w:val="Body"/>
        <w:rPr>
          <w:rStyle w:val="None"/>
          <w:rFonts w:ascii="Times New Roman" w:cs="Times New Roman" w:hAnsi="Times New Roman" w:eastAsia="Times New Roman"/>
          <w:sz w:val="24"/>
          <w:szCs w:val="24"/>
          <w:vertAlign w:val="baseline"/>
        </w:rPr>
      </w:pPr>
    </w:p>
    <w:p>
      <w:pPr>
        <w:pStyle w:val="Body"/>
        <w:rPr>
          <w:rStyle w:val="None"/>
          <w:sz w:val="24"/>
          <w:szCs w:val="24"/>
          <w:vertAlign w:val="baseline"/>
        </w:rPr>
      </w:pPr>
      <w:r>
        <w:rPr>
          <w:rStyle w:val="None"/>
          <w:b w:val="1"/>
          <w:bCs w:val="1"/>
          <w:sz w:val="24"/>
          <w:szCs w:val="24"/>
          <w:vertAlign w:val="baseline"/>
          <w:rtl w:val="0"/>
          <w:lang w:val="en-US"/>
        </w:rPr>
        <w:t>To be completed by the PROM COMMITTEE:</w:t>
      </w:r>
    </w:p>
    <w:p>
      <w:pPr>
        <w:pStyle w:val="Body"/>
        <w:rPr>
          <w:rStyle w:val="None"/>
          <w:sz w:val="24"/>
          <w:szCs w:val="24"/>
          <w:vertAlign w:val="baseline"/>
        </w:rPr>
      </w:pPr>
      <w:r>
        <w:rPr>
          <w:rStyle w:val="None"/>
          <w:sz w:val="24"/>
          <w:szCs w:val="24"/>
          <w:vertAlign w:val="baseline"/>
          <w:rtl w:val="0"/>
          <w:lang w:val="en-US"/>
        </w:rPr>
        <w:t>Special handling requirements:</w:t>
      </w:r>
    </w:p>
    <w:p>
      <w:pPr>
        <w:pStyle w:val="Body"/>
        <w:rPr>
          <w:rStyle w:val="None"/>
          <w:sz w:val="24"/>
          <w:szCs w:val="24"/>
          <w:vertAlign w:val="baseline"/>
        </w:rPr>
      </w:pPr>
    </w:p>
    <w:p>
      <w:pPr>
        <w:pStyle w:val="Body"/>
        <w:rPr>
          <w:rStyle w:val="None"/>
          <w:sz w:val="24"/>
          <w:szCs w:val="24"/>
          <w:vertAlign w:val="baseline"/>
        </w:rPr>
      </w:pPr>
      <w:r>
        <w:rPr>
          <w:rStyle w:val="None"/>
          <w:sz w:val="24"/>
          <w:szCs w:val="24"/>
          <w:vertAlign w:val="baseline"/>
          <w:rtl w:val="0"/>
          <w:lang w:val="en-US"/>
        </w:rPr>
        <w:t>On-going approval or staff interaction requirements:</w:t>
      </w:r>
    </w:p>
    <w:p>
      <w:pPr>
        <w:pStyle w:val="Body"/>
        <w:rPr>
          <w:rStyle w:val="None"/>
          <w:rFonts w:ascii="Times New Roman" w:cs="Times New Roman" w:hAnsi="Times New Roman" w:eastAsia="Times New Roman"/>
          <w:sz w:val="24"/>
          <w:szCs w:val="24"/>
          <w:vertAlign w:val="baseline"/>
        </w:rPr>
      </w:pPr>
    </w:p>
    <w:p>
      <w:pPr>
        <w:pStyle w:val="Body"/>
      </w:pPr>
      <w:r>
        <w:rPr>
          <w:rStyle w:val="None"/>
          <w:sz w:val="24"/>
          <w:szCs w:val="24"/>
          <w:vertAlign w:val="baseline"/>
          <w:rtl w:val="0"/>
          <w:lang w:val="en-US"/>
        </w:rPr>
        <w:t>Approved By/Date:</w:t>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Body"/>
      <w:shd w:val="clear" w:color="auto" w:fill="ffffff"/>
      <w:spacing w:after="0" w:line="240" w:lineRule="auto"/>
      <w:jc w:val="right"/>
      <w:rPr>
        <w:rFonts w:ascii="Times New Roman" w:cs="Times New Roman" w:hAnsi="Times New Roman" w:eastAsia="Times New Roman"/>
        <w:caps w:val="0"/>
        <w:smallCaps w:val="0"/>
        <w:strike w:val="0"/>
        <w:dstrike w:val="0"/>
        <w:color w:val="000000"/>
        <w:u w:val="none" w:color="000000"/>
        <w:shd w:val="clear" w:color="auto" w:fill="ffffff"/>
        <w:vertAlign w:val="baseline"/>
      </w:rPr>
    </w:pPr>
    <w:r>
      <w:rPr>
        <w:caps w:val="0"/>
        <w:smallCaps w:val="0"/>
        <w:strike w:val="0"/>
        <w:dstrike w:val="0"/>
        <w:color w:val="000000"/>
        <w:u w:val="none" w:color="000000"/>
        <w:shd w:val="clear" w:color="auto" w:fill="ffffff"/>
        <w:vertAlign w:val="baseline"/>
      </w:rPr>
      <w:fldChar w:fldCharType="begin" w:fldLock="0"/>
    </w:r>
    <w:r>
      <w:rPr>
        <w:caps w:val="0"/>
        <w:smallCaps w:val="0"/>
        <w:strike w:val="0"/>
        <w:dstrike w:val="0"/>
        <w:color w:val="000000"/>
        <w:u w:val="none" w:color="000000"/>
        <w:shd w:val="clear" w:color="auto" w:fill="ffffff"/>
        <w:vertAlign w:val="baseline"/>
      </w:rPr>
      <w:instrText xml:space="preserve"> PAGE </w:instrText>
    </w:r>
    <w:r>
      <w:rPr>
        <w:caps w:val="0"/>
        <w:smallCaps w:val="0"/>
        <w:strike w:val="0"/>
        <w:dstrike w:val="0"/>
        <w:color w:val="000000"/>
        <w:u w:val="none" w:color="000000"/>
        <w:shd w:val="clear" w:color="auto" w:fill="ffffff"/>
        <w:vertAlign w:val="baseline"/>
      </w:rPr>
      <w:fldChar w:fldCharType="separate" w:fldLock="0"/>
    </w:r>
    <w:r>
      <w:rPr>
        <w:caps w:val="0"/>
        <w:smallCaps w:val="0"/>
        <w:strike w:val="0"/>
        <w:dstrike w:val="0"/>
        <w:color w:val="000000"/>
        <w:u w:val="none" w:color="000000"/>
        <w:shd w:val="clear" w:color="auto" w:fill="ffffff"/>
        <w:vertAlign w:val="baseline"/>
      </w:rPr>
      <w:t>4</w:t>
    </w:r>
    <w:r>
      <w:rPr>
        <w:caps w:val="0"/>
        <w:smallCaps w:val="0"/>
        <w:strike w:val="0"/>
        <w:dstrike w:val="0"/>
        <w:color w:val="000000"/>
        <w:u w:val="none" w:color="000000"/>
        <w:shd w:val="clear" w:color="auto" w:fill="ffffff"/>
        <w:vertAlign w:val="baseline"/>
      </w:rPr>
      <w:fldChar w:fldCharType="end" w:fldLock="0"/>
    </w:r>
  </w:p>
  <w:p>
    <w:pPr>
      <w:pStyle w:val="Body"/>
      <w:shd w:val="clear" w:color="auto" w:fill="ffffff"/>
      <w:spacing w:after="0" w:line="240" w:lineRule="auto"/>
      <w:ind w:right="360"/>
    </w:pPr>
    <w:r>
      <w:rPr>
        <w:caps w:val="0"/>
        <w:smallCaps w:val="0"/>
        <w:strike w:val="0"/>
        <w:dstrike w:val="0"/>
        <w:color w:val="000000"/>
        <w:u w:val="none" w:color="000000"/>
        <w:shd w:val="clear" w:color="auto" w:fill="ffffff"/>
        <w:vertAlign w:val="baseline"/>
        <w:rtl w:val="0"/>
      </w:rPr>
      <w:t>V1.0</w:t>
      <w:tab/>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pPr>
      <w:pStyle w:val="Body"/>
      <w:pBdr>
        <w:top w:val="nil"/>
        <w:left w:val="nil"/>
        <w:bottom w:val="single" w:color="000000" w:sz="4" w:space="0" w:shadow="0" w:frame="0"/>
        <w:right w:val="nil"/>
      </w:pBdr>
      <w:spacing w:after="0"/>
    </w:pPr>
    <w:r>
      <w:drawing>
        <wp:anchor distT="152400" distB="152400" distL="152400" distR="152400" simplePos="0" relativeHeight="251658240" behindDoc="1" locked="0" layoutInCell="1" allowOverlap="1">
          <wp:simplePos x="0" y="0"/>
          <wp:positionH relativeFrom="page">
            <wp:posOffset>6286500</wp:posOffset>
          </wp:positionH>
          <wp:positionV relativeFrom="page">
            <wp:posOffset>0</wp:posOffset>
          </wp:positionV>
          <wp:extent cx="1371600" cy="1059815"/>
          <wp:effectExtent l="0" t="0" r="0" b="0"/>
          <wp:wrapNone/>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a:picLocks noChangeAspect="1"/>
                  </pic:cNvPicPr>
                </pic:nvPicPr>
                <pic:blipFill>
                  <a:blip r:embed="rId1">
                    <a:extLst/>
                  </a:blip>
                  <a:stretch>
                    <a:fillRect/>
                  </a:stretch>
                </pic:blipFill>
                <pic:spPr>
                  <a:xfrm>
                    <a:off x="0" y="0"/>
                    <a:ext cx="1371600" cy="1059815"/>
                  </a:xfrm>
                  <a:prstGeom prst="rect">
                    <a:avLst/>
                  </a:prstGeom>
                  <a:ln w="12700" cap="flat">
                    <a:noFill/>
                    <a:miter lim="400000"/>
                  </a:ln>
                  <a:effectLst/>
                </pic:spPr>
              </pic:pic>
            </a:graphicData>
          </a:graphic>
        </wp:anchor>
      </w:drawing>
    </w:r>
    <w:r>
      <w:rPr>
        <w:rFonts w:ascii="Arial" w:hAnsi="Arial"/>
        <w:b w:val="1"/>
        <w:bCs w:val="1"/>
        <w:smallCaps w:val="1"/>
        <w:sz w:val="32"/>
        <w:szCs w:val="32"/>
        <w:vertAlign w:val="baseline"/>
        <w:rtl w:val="0"/>
        <w:lang w:val="en-US"/>
      </w:rPr>
      <w:t xml:space="preserve"> Process or Materials Review Request Form</w:t>
      <w:tab/>
      <w:tab/>
    </w:r>
    <w:r>
      <w:rPr>
        <w:rFonts w:ascii="Arial" w:cs="Arial" w:hAnsi="Arial" w:eastAsia="Arial"/>
        <w:caps w:val="0"/>
        <w:smallCaps w:val="0"/>
        <w:sz w:val="32"/>
        <w:szCs w:val="32"/>
        <w:vertAlign w:val="baseline"/>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253" w:hanging="25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53" w:hanging="25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53" w:hanging="25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53" w:hanging="25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53" w:hanging="25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53" w:hanging="25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53" w:hanging="25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53" w:hanging="25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53" w:hanging="25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0"/>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Imported Style 1">
    <w:name w:val="Imported Style 1"/>
    <w:pPr>
      <w:numPr>
        <w:numId w:val="1"/>
      </w:numPr>
    </w:pPr>
  </w:style>
  <w:style w:type="character" w:styleId="None">
    <w:name w:val="None"/>
  </w:style>
  <w:style w:type="character" w:styleId="Hyperlink.0">
    <w:name w:val="Hyperlink.0"/>
    <w:basedOn w:val="None"/>
    <w:next w:val="Hyperlink.0"/>
    <w:rPr>
      <w:color w:val="0000ff"/>
      <w:u w:val="single" w:color="0000ff"/>
      <w:vertAlign w:val="baseline"/>
    </w:rPr>
  </w:style>
  <w:style w:type="numbering" w:styleId="Numbered">
    <w:name w:val="Numbered"/>
    <w:pPr>
      <w:numPr>
        <w:numId w:val="3"/>
      </w:numPr>
    </w:pPr>
  </w:style>
  <w:style w:type="character" w:styleId="Hyperlink.1">
    <w:name w:val="Hyperlink.1"/>
    <w:basedOn w:val="Hyperlink"/>
    <w:next w:val="Hyperlink.1"/>
    <w:rPr>
      <w:color w:val="0000ff"/>
      <w:u w:val="single" w:color="0000ff"/>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