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7141F" w14:textId="565AE476" w:rsidR="00504C02" w:rsidRDefault="00605C39">
      <w:pPr>
        <w:rPr>
          <w:rFonts w:ascii="Times New Roman" w:eastAsia="Times New Roman" w:hAnsi="Times New Roman" w:cs="Times New Roman"/>
          <w:sz w:val="24"/>
          <w:szCs w:val="24"/>
        </w:rPr>
      </w:pPr>
      <w:r>
        <w:rPr>
          <w:b/>
          <w:sz w:val="24"/>
          <w:szCs w:val="24"/>
        </w:rPr>
        <w:t xml:space="preserve">Request Title:  </w:t>
      </w:r>
      <w:r w:rsidR="0036697B">
        <w:rPr>
          <w:b/>
          <w:sz w:val="24"/>
          <w:szCs w:val="24"/>
        </w:rPr>
        <w:t>TFB in m-xylene</w:t>
      </w:r>
      <w:r>
        <w:rPr>
          <w:b/>
          <w:sz w:val="24"/>
          <w:szCs w:val="24"/>
        </w:rPr>
        <w:tab/>
      </w:r>
      <w:r>
        <w:rPr>
          <w:b/>
          <w:sz w:val="24"/>
          <w:szCs w:val="24"/>
        </w:rPr>
        <w:tab/>
      </w:r>
      <w:r>
        <w:rPr>
          <w:b/>
          <w:sz w:val="24"/>
          <w:szCs w:val="24"/>
        </w:rPr>
        <w:tab/>
      </w:r>
      <w:r>
        <w:rPr>
          <w:b/>
          <w:sz w:val="24"/>
          <w:szCs w:val="24"/>
        </w:rPr>
        <w:tab/>
      </w:r>
      <w:r>
        <w:rPr>
          <w:b/>
          <w:sz w:val="24"/>
          <w:szCs w:val="24"/>
        </w:rPr>
        <w:tab/>
      </w:r>
    </w:p>
    <w:p w14:paraId="751BCC77" w14:textId="2F05C7EA" w:rsidR="00504C02" w:rsidRDefault="00605C39">
      <w:pPr>
        <w:rPr>
          <w:rFonts w:ascii="Times New Roman" w:eastAsia="Times New Roman" w:hAnsi="Times New Roman" w:cs="Times New Roman"/>
          <w:sz w:val="24"/>
          <w:szCs w:val="24"/>
        </w:rPr>
      </w:pPr>
      <w:r>
        <w:rPr>
          <w:b/>
          <w:sz w:val="24"/>
          <w:szCs w:val="24"/>
        </w:rPr>
        <w:t xml:space="preserve">Requestor: </w:t>
      </w:r>
      <w:r w:rsidR="00712F0A">
        <w:rPr>
          <w:b/>
          <w:sz w:val="24"/>
          <w:szCs w:val="24"/>
        </w:rPr>
        <w:t>David Viveros Salazar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712F0A">
        <w:rPr>
          <w:b/>
          <w:sz w:val="24"/>
          <w:szCs w:val="24"/>
        </w:rPr>
        <w:t>06/</w:t>
      </w:r>
      <w:r w:rsidR="007F71E3">
        <w:rPr>
          <w:b/>
          <w:sz w:val="24"/>
          <w:szCs w:val="24"/>
        </w:rPr>
        <w:t>2</w:t>
      </w:r>
      <w:r w:rsidR="00F75DA6">
        <w:rPr>
          <w:b/>
          <w:sz w:val="24"/>
          <w:szCs w:val="24"/>
        </w:rPr>
        <w:t>5</w:t>
      </w:r>
      <w:r w:rsidR="00712F0A">
        <w:rPr>
          <w:b/>
          <w:sz w:val="24"/>
          <w:szCs w:val="24"/>
        </w:rPr>
        <w:t>/2019</w:t>
      </w:r>
    </w:p>
    <w:p w14:paraId="467FDDF4" w14:textId="77777777" w:rsidR="00504C02" w:rsidRDefault="00605C39">
      <w:pPr>
        <w:rPr>
          <w:sz w:val="24"/>
          <w:szCs w:val="24"/>
        </w:rPr>
      </w:pPr>
      <w:r>
        <w:rPr>
          <w:b/>
          <w:sz w:val="24"/>
          <w:szCs w:val="24"/>
        </w:rPr>
        <w:t>Non-SNF staff, please complete the following:</w:t>
      </w:r>
    </w:p>
    <w:p w14:paraId="3272A2B2" w14:textId="2374CC8B" w:rsidR="00504C02" w:rsidRDefault="00605C39">
      <w:pPr>
        <w:rPr>
          <w:sz w:val="24"/>
          <w:szCs w:val="24"/>
        </w:rPr>
      </w:pPr>
      <w:r>
        <w:rPr>
          <w:b/>
          <w:sz w:val="24"/>
          <w:szCs w:val="24"/>
        </w:rPr>
        <w:t>Badger ID:</w:t>
      </w:r>
      <w:r w:rsidR="00712F0A">
        <w:rPr>
          <w:b/>
          <w:sz w:val="24"/>
          <w:szCs w:val="24"/>
        </w:rPr>
        <w:t xml:space="preserve"> david@resonancelabs.io</w:t>
      </w:r>
      <w:r>
        <w:rPr>
          <w:b/>
          <w:sz w:val="24"/>
          <w:szCs w:val="24"/>
        </w:rPr>
        <w:tab/>
      </w:r>
      <w:r>
        <w:rPr>
          <w:b/>
          <w:sz w:val="24"/>
          <w:szCs w:val="24"/>
        </w:rPr>
        <w:tab/>
      </w:r>
      <w:r>
        <w:rPr>
          <w:b/>
          <w:sz w:val="24"/>
          <w:szCs w:val="24"/>
        </w:rPr>
        <w:tab/>
      </w:r>
      <w:r>
        <w:rPr>
          <w:b/>
          <w:sz w:val="24"/>
          <w:szCs w:val="24"/>
        </w:rPr>
        <w:tab/>
      </w:r>
    </w:p>
    <w:p w14:paraId="72D86452" w14:textId="15FC308C" w:rsidR="00504C02" w:rsidRDefault="00605C39">
      <w:pPr>
        <w:rPr>
          <w:sz w:val="24"/>
          <w:szCs w:val="24"/>
        </w:rPr>
      </w:pPr>
      <w:r>
        <w:rPr>
          <w:b/>
          <w:sz w:val="24"/>
          <w:szCs w:val="24"/>
        </w:rPr>
        <w:t xml:space="preserve">Company name/PI: </w:t>
      </w:r>
      <w:r w:rsidR="00712F0A">
        <w:rPr>
          <w:b/>
          <w:sz w:val="24"/>
          <w:szCs w:val="24"/>
        </w:rPr>
        <w:t>Resonance Labs, Inc.</w:t>
      </w:r>
      <w:r w:rsidR="003E0272">
        <w:rPr>
          <w:b/>
          <w:sz w:val="24"/>
          <w:szCs w:val="24"/>
        </w:rPr>
        <w:t>/David Viveros Salazar</w:t>
      </w:r>
    </w:p>
    <w:p w14:paraId="728D9FF0" w14:textId="77777777" w:rsidR="00504C02" w:rsidRDefault="00605C3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E3DA7A8" w14:textId="77777777" w:rsidR="00504C02" w:rsidRDefault="00504C02">
      <w:pPr>
        <w:rPr>
          <w:rFonts w:ascii="Times New Roman" w:eastAsia="Times New Roman" w:hAnsi="Times New Roman" w:cs="Times New Roman"/>
          <w:sz w:val="24"/>
          <w:szCs w:val="24"/>
        </w:rPr>
      </w:pPr>
    </w:p>
    <w:p w14:paraId="5E55C068" w14:textId="1B013BD5" w:rsidR="00504C02" w:rsidRDefault="00605C39">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23058DBE" w14:textId="61B7281E" w:rsidR="00712F0A" w:rsidRPr="00712F0A" w:rsidRDefault="00712F0A" w:rsidP="00712F0A">
      <w:pPr>
        <w:pStyle w:val="ListParagraph"/>
        <w:numPr>
          <w:ilvl w:val="0"/>
          <w:numId w:val="2"/>
        </w:numPr>
        <w:rPr>
          <w:sz w:val="24"/>
          <w:szCs w:val="24"/>
        </w:rPr>
      </w:pPr>
      <w:r>
        <w:rPr>
          <w:b/>
          <w:sz w:val="24"/>
          <w:szCs w:val="24"/>
        </w:rPr>
        <w:t>TFB</w:t>
      </w:r>
    </w:p>
    <w:p w14:paraId="4A8AE4B5" w14:textId="2FAED73D" w:rsidR="00712F0A" w:rsidRPr="00712F0A" w:rsidRDefault="00712F0A" w:rsidP="00712F0A">
      <w:pPr>
        <w:pStyle w:val="ListParagraph"/>
        <w:numPr>
          <w:ilvl w:val="0"/>
          <w:numId w:val="2"/>
        </w:numPr>
        <w:rPr>
          <w:sz w:val="24"/>
          <w:szCs w:val="24"/>
        </w:rPr>
      </w:pPr>
      <w:proofErr w:type="gramStart"/>
      <w:r>
        <w:rPr>
          <w:b/>
          <w:sz w:val="24"/>
          <w:szCs w:val="24"/>
        </w:rPr>
        <w:t>Poly[</w:t>
      </w:r>
      <w:proofErr w:type="gramEnd"/>
      <w:r>
        <w:rPr>
          <w:b/>
          <w:sz w:val="24"/>
          <w:szCs w:val="24"/>
        </w:rPr>
        <w:t>9,9-dioctylfluorenyl-2, 7-diyl)-co-(4, 4’-(N-(4-sec-butylphenyl)diphenylamine)]</w:t>
      </w:r>
    </w:p>
    <w:p w14:paraId="61840045" w14:textId="3A42E5A7" w:rsidR="00712F0A" w:rsidRPr="00712F0A" w:rsidRDefault="00712F0A" w:rsidP="00712F0A">
      <w:pPr>
        <w:pStyle w:val="ListParagraph"/>
        <w:numPr>
          <w:ilvl w:val="0"/>
          <w:numId w:val="2"/>
        </w:numPr>
        <w:rPr>
          <w:sz w:val="24"/>
          <w:szCs w:val="24"/>
        </w:rPr>
      </w:pPr>
      <w:r>
        <w:rPr>
          <w:b/>
          <w:sz w:val="24"/>
          <w:szCs w:val="24"/>
        </w:rPr>
        <w:t>Formula (C51H61</w:t>
      </w:r>
      <w:proofErr w:type="gramStart"/>
      <w:r>
        <w:rPr>
          <w:b/>
          <w:sz w:val="24"/>
          <w:szCs w:val="24"/>
        </w:rPr>
        <w:t>N)n</w:t>
      </w:r>
      <w:proofErr w:type="gramEnd"/>
    </w:p>
    <w:p w14:paraId="1AC33099" w14:textId="33710871" w:rsidR="00504C02" w:rsidRDefault="00605C39">
      <w:pPr>
        <w:numPr>
          <w:ilvl w:val="0"/>
          <w:numId w:val="1"/>
        </w:numPr>
        <w:rPr>
          <w:sz w:val="24"/>
          <w:szCs w:val="24"/>
        </w:rPr>
      </w:pPr>
      <w:r>
        <w:rPr>
          <w:b/>
          <w:sz w:val="24"/>
          <w:szCs w:val="24"/>
        </w:rPr>
        <w:t>Vendor/manufacturer info:</w:t>
      </w:r>
      <w:r>
        <w:rPr>
          <w:sz w:val="24"/>
          <w:szCs w:val="24"/>
        </w:rPr>
        <w:t xml:space="preserve"> address and phone number, website URL.</w:t>
      </w:r>
    </w:p>
    <w:p w14:paraId="125DA98D" w14:textId="1E949327" w:rsidR="00712F0A" w:rsidRPr="00712F0A" w:rsidRDefault="00712F0A" w:rsidP="00712F0A">
      <w:pPr>
        <w:pStyle w:val="ListParagraph"/>
        <w:numPr>
          <w:ilvl w:val="0"/>
          <w:numId w:val="2"/>
        </w:numPr>
        <w:rPr>
          <w:sz w:val="24"/>
          <w:szCs w:val="24"/>
        </w:rPr>
      </w:pPr>
      <w:r>
        <w:rPr>
          <w:b/>
          <w:sz w:val="24"/>
          <w:szCs w:val="24"/>
        </w:rPr>
        <w:t>Sigma-Aldrich Inc.</w:t>
      </w:r>
    </w:p>
    <w:p w14:paraId="4687A470" w14:textId="3DF539D2" w:rsidR="00712F0A" w:rsidRPr="00712F0A" w:rsidRDefault="00C44A0F" w:rsidP="00712F0A">
      <w:pPr>
        <w:pStyle w:val="ListParagraph"/>
        <w:numPr>
          <w:ilvl w:val="0"/>
          <w:numId w:val="2"/>
        </w:numPr>
        <w:rPr>
          <w:sz w:val="24"/>
          <w:szCs w:val="24"/>
        </w:rPr>
      </w:pPr>
      <w:hyperlink r:id="rId9" w:history="1">
        <w:r w:rsidR="00712F0A" w:rsidRPr="00E07ACD">
          <w:rPr>
            <w:rStyle w:val="Hyperlink"/>
            <w:b/>
            <w:sz w:val="24"/>
            <w:szCs w:val="24"/>
          </w:rPr>
          <w:t>www.sigmaaldrich.com</w:t>
        </w:r>
      </w:hyperlink>
    </w:p>
    <w:p w14:paraId="61DEAEB5" w14:textId="15F7BA34" w:rsidR="00712F0A" w:rsidRDefault="00712F0A" w:rsidP="00712F0A">
      <w:pPr>
        <w:pStyle w:val="ListParagraph"/>
        <w:numPr>
          <w:ilvl w:val="0"/>
          <w:numId w:val="2"/>
        </w:numPr>
        <w:rPr>
          <w:sz w:val="24"/>
          <w:szCs w:val="24"/>
        </w:rPr>
      </w:pPr>
      <w:r>
        <w:rPr>
          <w:sz w:val="24"/>
          <w:szCs w:val="24"/>
        </w:rPr>
        <w:t>3050 Spruce Street</w:t>
      </w:r>
    </w:p>
    <w:p w14:paraId="5BAF1982" w14:textId="0E1540ED" w:rsidR="00712F0A" w:rsidRDefault="00712F0A" w:rsidP="00712F0A">
      <w:pPr>
        <w:pStyle w:val="ListParagraph"/>
        <w:rPr>
          <w:sz w:val="24"/>
          <w:szCs w:val="24"/>
        </w:rPr>
      </w:pPr>
      <w:r>
        <w:rPr>
          <w:sz w:val="24"/>
          <w:szCs w:val="24"/>
        </w:rPr>
        <w:t>St. Louis, MO 63103 USA</w:t>
      </w:r>
    </w:p>
    <w:p w14:paraId="60686DD5" w14:textId="5A8E5F50" w:rsidR="00712F0A" w:rsidRDefault="00712F0A" w:rsidP="00712F0A">
      <w:pPr>
        <w:pStyle w:val="ListParagraph"/>
        <w:rPr>
          <w:sz w:val="24"/>
          <w:szCs w:val="24"/>
        </w:rPr>
      </w:pPr>
      <w:r>
        <w:rPr>
          <w:sz w:val="24"/>
          <w:szCs w:val="24"/>
        </w:rPr>
        <w:t>+1 314 771-5765</w:t>
      </w:r>
    </w:p>
    <w:p w14:paraId="25A6EAB2" w14:textId="77777777" w:rsidR="00712F0A" w:rsidRPr="00712F0A" w:rsidRDefault="00712F0A" w:rsidP="00712F0A">
      <w:pPr>
        <w:pStyle w:val="ListParagraph"/>
        <w:rPr>
          <w:sz w:val="24"/>
          <w:szCs w:val="24"/>
        </w:rPr>
      </w:pPr>
    </w:p>
    <w:p w14:paraId="4D2C16C0" w14:textId="0F866836" w:rsidR="00504C02" w:rsidRDefault="00605C39">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3258A647" w14:textId="4D014A9F" w:rsidR="00712F0A" w:rsidRDefault="00712F0A" w:rsidP="00712F0A">
      <w:pPr>
        <w:pStyle w:val="ListParagraph"/>
        <w:numPr>
          <w:ilvl w:val="0"/>
          <w:numId w:val="2"/>
        </w:numPr>
        <w:rPr>
          <w:b/>
          <w:sz w:val="24"/>
          <w:szCs w:val="24"/>
        </w:rPr>
      </w:pPr>
      <w:r w:rsidRPr="00712F0A">
        <w:rPr>
          <w:b/>
          <w:sz w:val="24"/>
          <w:szCs w:val="24"/>
        </w:rPr>
        <w:t xml:space="preserve">This material is being used as a conductive and transparent polymer. We are currently evaluating various polymers </w:t>
      </w:r>
      <w:r w:rsidR="00F95C56">
        <w:rPr>
          <w:b/>
          <w:sz w:val="24"/>
          <w:szCs w:val="24"/>
        </w:rPr>
        <w:t>and this is a strong candidate for our application.</w:t>
      </w:r>
      <w:r>
        <w:rPr>
          <w:b/>
          <w:sz w:val="24"/>
          <w:szCs w:val="24"/>
        </w:rPr>
        <w:t xml:space="preserve"> Attached is a paper along with the supplement that provide in some detail the process </w:t>
      </w:r>
      <w:r>
        <w:rPr>
          <w:b/>
          <w:sz w:val="24"/>
          <w:szCs w:val="24"/>
        </w:rPr>
        <w:lastRenderedPageBreak/>
        <w:t>and use of this material. Specifically, section 1.4 in the supplemental attachment of the article.</w:t>
      </w:r>
    </w:p>
    <w:p w14:paraId="633B1FEC" w14:textId="77777777" w:rsidR="00712F0A" w:rsidRPr="00712F0A" w:rsidRDefault="00712F0A" w:rsidP="00712F0A">
      <w:pPr>
        <w:rPr>
          <w:b/>
          <w:sz w:val="24"/>
          <w:szCs w:val="24"/>
        </w:rPr>
      </w:pPr>
    </w:p>
    <w:p w14:paraId="2F71B44B" w14:textId="6E449638" w:rsidR="00504C02" w:rsidRDefault="00605C39">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5843DB5A" w14:textId="5EC34E20" w:rsidR="00712F0A" w:rsidRDefault="00712F0A" w:rsidP="00712F0A">
      <w:pPr>
        <w:pStyle w:val="ListParagraph"/>
        <w:numPr>
          <w:ilvl w:val="0"/>
          <w:numId w:val="2"/>
        </w:numPr>
        <w:rPr>
          <w:b/>
          <w:sz w:val="24"/>
          <w:szCs w:val="24"/>
        </w:rPr>
      </w:pPr>
      <w:r w:rsidRPr="00712F0A">
        <w:rPr>
          <w:b/>
          <w:sz w:val="24"/>
          <w:szCs w:val="24"/>
        </w:rPr>
        <w:t xml:space="preserve">The material will be spin coated onto ITO treated </w:t>
      </w:r>
      <w:r>
        <w:rPr>
          <w:b/>
          <w:sz w:val="24"/>
          <w:szCs w:val="24"/>
        </w:rPr>
        <w:t xml:space="preserve">and </w:t>
      </w:r>
      <w:proofErr w:type="gramStart"/>
      <w:r>
        <w:rPr>
          <w:b/>
          <w:sz w:val="24"/>
          <w:szCs w:val="24"/>
        </w:rPr>
        <w:t>PEDOT:PSS</w:t>
      </w:r>
      <w:proofErr w:type="gramEnd"/>
      <w:r>
        <w:rPr>
          <w:b/>
          <w:sz w:val="24"/>
          <w:szCs w:val="24"/>
        </w:rPr>
        <w:t xml:space="preserve"> coated </w:t>
      </w:r>
      <w:r w:rsidRPr="00712F0A">
        <w:rPr>
          <w:b/>
          <w:sz w:val="24"/>
          <w:szCs w:val="24"/>
        </w:rPr>
        <w:t xml:space="preserve">glass wafer. The spin coat process will take place on the Laurell-G spin coater in </w:t>
      </w:r>
      <w:r w:rsidR="007F71E3">
        <w:rPr>
          <w:b/>
          <w:sz w:val="24"/>
          <w:szCs w:val="24"/>
        </w:rPr>
        <w:t>R</w:t>
      </w:r>
      <w:r w:rsidRPr="00712F0A">
        <w:rPr>
          <w:b/>
          <w:sz w:val="24"/>
          <w:szCs w:val="24"/>
        </w:rPr>
        <w:t>oom 159.</w:t>
      </w:r>
      <w:r>
        <w:rPr>
          <w:b/>
          <w:sz w:val="24"/>
          <w:szCs w:val="24"/>
        </w:rPr>
        <w:t xml:space="preserve"> After spinning, it will be bake</w:t>
      </w:r>
      <w:r w:rsidR="00E749DA">
        <w:rPr>
          <w:b/>
          <w:sz w:val="24"/>
          <w:szCs w:val="24"/>
        </w:rPr>
        <w:t>d</w:t>
      </w:r>
      <w:r>
        <w:rPr>
          <w:b/>
          <w:sz w:val="24"/>
          <w:szCs w:val="24"/>
        </w:rPr>
        <w:t xml:space="preserve"> at 150° C for 30 min</w:t>
      </w:r>
      <w:r w:rsidR="00F75DA6">
        <w:rPr>
          <w:b/>
          <w:sz w:val="24"/>
          <w:szCs w:val="24"/>
        </w:rPr>
        <w:t xml:space="preserve"> using the hot plate on the Laurell-G</w:t>
      </w:r>
      <w:r>
        <w:rPr>
          <w:b/>
          <w:sz w:val="24"/>
          <w:szCs w:val="24"/>
        </w:rPr>
        <w:t>. Once baked it will undergo additional spin coating</w:t>
      </w:r>
      <w:r w:rsidR="00E749DA">
        <w:rPr>
          <w:b/>
          <w:sz w:val="24"/>
          <w:szCs w:val="24"/>
        </w:rPr>
        <w:t xml:space="preserve"> and eventually </w:t>
      </w:r>
      <w:r w:rsidR="007F71E3">
        <w:rPr>
          <w:b/>
          <w:sz w:val="24"/>
          <w:szCs w:val="24"/>
        </w:rPr>
        <w:t>epoxy and glass</w:t>
      </w:r>
      <w:r w:rsidR="00E749DA">
        <w:rPr>
          <w:b/>
          <w:sz w:val="24"/>
          <w:szCs w:val="24"/>
        </w:rPr>
        <w:t xml:space="preserve"> encapsulation.</w:t>
      </w:r>
    </w:p>
    <w:p w14:paraId="05990210" w14:textId="7F822E4F" w:rsidR="003458AE" w:rsidRPr="00712F0A" w:rsidRDefault="003458AE" w:rsidP="00712F0A">
      <w:pPr>
        <w:pStyle w:val="ListParagraph"/>
        <w:numPr>
          <w:ilvl w:val="0"/>
          <w:numId w:val="2"/>
        </w:numPr>
        <w:rPr>
          <w:b/>
          <w:sz w:val="24"/>
          <w:szCs w:val="24"/>
        </w:rPr>
      </w:pPr>
      <w:r>
        <w:rPr>
          <w:b/>
          <w:sz w:val="24"/>
          <w:szCs w:val="24"/>
        </w:rPr>
        <w:t xml:space="preserve">Based on guidance by Phillip </w:t>
      </w:r>
      <w:proofErr w:type="spellStart"/>
      <w:r>
        <w:rPr>
          <w:b/>
          <w:sz w:val="24"/>
          <w:szCs w:val="24"/>
        </w:rPr>
        <w:t>Himmer</w:t>
      </w:r>
      <w:proofErr w:type="spellEnd"/>
      <w:r>
        <w:rPr>
          <w:b/>
          <w:sz w:val="24"/>
          <w:szCs w:val="24"/>
        </w:rPr>
        <w:t>, use of the TFB in m-xylene will be limited to the Laurell-G fume hood. Upon spin coating, the m-xylene will be evaporated using the hot plate located under the Laurell-G fume hood. To prepare for the case of a spill, a small bowl will be made out of aluminum foil. Absorbent pads will be placed within the aluminum foil bowl. The combining of the TFB with the m-xylene will be conducted in the bowl to contain any spill to the area under the Laurell-G fume hood.</w:t>
      </w:r>
      <w:bookmarkStart w:id="0" w:name="_GoBack"/>
      <w:bookmarkEnd w:id="0"/>
    </w:p>
    <w:p w14:paraId="381E7458" w14:textId="77777777" w:rsidR="00504C02" w:rsidRDefault="00504C02">
      <w:pPr>
        <w:rPr>
          <w:sz w:val="24"/>
          <w:szCs w:val="24"/>
        </w:rPr>
      </w:pPr>
    </w:p>
    <w:p w14:paraId="0362184F" w14:textId="3FF52513" w:rsidR="00504C02" w:rsidRDefault="00605C39">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A9C0E50" w14:textId="1898C566" w:rsidR="00E749DA" w:rsidRPr="00E749DA" w:rsidRDefault="00E749DA" w:rsidP="00E749DA">
      <w:pPr>
        <w:pStyle w:val="ListParagraph"/>
        <w:numPr>
          <w:ilvl w:val="0"/>
          <w:numId w:val="2"/>
        </w:numPr>
        <w:rPr>
          <w:sz w:val="24"/>
          <w:szCs w:val="24"/>
        </w:rPr>
      </w:pPr>
      <w:r>
        <w:rPr>
          <w:b/>
          <w:sz w:val="24"/>
          <w:szCs w:val="24"/>
        </w:rPr>
        <w:t xml:space="preserve">I plan to purchase 250 g (solid) of the TFB and mix with </w:t>
      </w:r>
      <w:r w:rsidR="007F71E3">
        <w:rPr>
          <w:b/>
          <w:sz w:val="24"/>
          <w:szCs w:val="24"/>
        </w:rPr>
        <w:t xml:space="preserve">m-xylene to create a mixture of </w:t>
      </w:r>
      <w:r w:rsidR="00F75DA6">
        <w:rPr>
          <w:b/>
          <w:sz w:val="24"/>
          <w:szCs w:val="24"/>
        </w:rPr>
        <w:t xml:space="preserve">0.5% </w:t>
      </w:r>
      <w:proofErr w:type="spellStart"/>
      <w:r w:rsidR="00F75DA6">
        <w:rPr>
          <w:b/>
          <w:sz w:val="24"/>
          <w:szCs w:val="24"/>
        </w:rPr>
        <w:t>wt</w:t>
      </w:r>
      <w:proofErr w:type="spellEnd"/>
      <w:r w:rsidR="00F75DA6">
        <w:rPr>
          <w:b/>
          <w:sz w:val="24"/>
          <w:szCs w:val="24"/>
        </w:rPr>
        <w:t xml:space="preserve"> of TFB. It will need to mixed using the magnetic stirrer and hot plate located at the Laurell-G.</w:t>
      </w:r>
    </w:p>
    <w:p w14:paraId="654B34FC" w14:textId="37D990C1" w:rsidR="00504C02" w:rsidRDefault="00605C39">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w:t>
      </w:r>
      <w:r>
        <w:rPr>
          <w:sz w:val="24"/>
          <w:szCs w:val="24"/>
        </w:rPr>
        <w:lastRenderedPageBreak/>
        <w:t xml:space="preserve">use it and return it to them when you are finished using it (or each time you leave the lab). Note that there is no storage of chemicals/materials in the processing lab or at any wet bench. </w:t>
      </w:r>
    </w:p>
    <w:p w14:paraId="30930685" w14:textId="2A8F0465" w:rsidR="00F75DA6" w:rsidRPr="00F75DA6" w:rsidRDefault="00F75DA6" w:rsidP="00F75DA6">
      <w:pPr>
        <w:pStyle w:val="ListParagraph"/>
        <w:numPr>
          <w:ilvl w:val="0"/>
          <w:numId w:val="2"/>
        </w:numPr>
        <w:rPr>
          <w:b/>
          <w:sz w:val="24"/>
          <w:szCs w:val="24"/>
        </w:rPr>
      </w:pPr>
      <w:r w:rsidRPr="00F75DA6">
        <w:rPr>
          <w:b/>
          <w:sz w:val="24"/>
          <w:szCs w:val="24"/>
        </w:rPr>
        <w:t>Yes, I would prefer to store this mixture of TFB in m-xylene at SNF. It will be stored in the yellow solvent cabinet since it is a flammable in in Storage Group L.</w:t>
      </w:r>
    </w:p>
    <w:p w14:paraId="78E8B7F9" w14:textId="77777777" w:rsidR="00F75DA6" w:rsidRDefault="00F75DA6" w:rsidP="00F75DA6">
      <w:pPr>
        <w:rPr>
          <w:sz w:val="24"/>
          <w:szCs w:val="24"/>
        </w:rPr>
      </w:pPr>
    </w:p>
    <w:p w14:paraId="5BAD807F" w14:textId="5439A575" w:rsidR="00F75DA6" w:rsidRPr="00F75DA6" w:rsidRDefault="00605C39" w:rsidP="00F75DA6">
      <w:pPr>
        <w:numPr>
          <w:ilvl w:val="0"/>
          <w:numId w:val="1"/>
        </w:numPr>
        <w:pBdr>
          <w:bottom w:val="single" w:sz="12" w:space="1" w:color="000000"/>
        </w:pBdr>
        <w:ind w:left="630" w:hanging="270"/>
        <w:rPr>
          <w:b/>
          <w:sz w:val="24"/>
          <w:szCs w:val="24"/>
        </w:rPr>
      </w:pPr>
      <w:r w:rsidRPr="00F75DA6">
        <w:rPr>
          <w:b/>
          <w:sz w:val="24"/>
          <w:szCs w:val="24"/>
        </w:rPr>
        <w:t>Disposal</w:t>
      </w:r>
      <w:r w:rsidRPr="00F75DA6">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sidRPr="00F75DA6">
          <w:rPr>
            <w:color w:val="0000FF"/>
            <w:sz w:val="24"/>
            <w:szCs w:val="24"/>
            <w:u w:val="single"/>
          </w:rPr>
          <w:t>SNF Lab members Safety Manual</w:t>
        </w:r>
      </w:hyperlink>
      <w:r w:rsidRPr="00F75DA6">
        <w:rPr>
          <w:sz w:val="24"/>
          <w:szCs w:val="24"/>
        </w:rPr>
        <w:t xml:space="preserve"> for the different methods of waste disposal that are available in the lab. </w:t>
      </w:r>
    </w:p>
    <w:p w14:paraId="5EFDDFF2" w14:textId="01882C3F" w:rsidR="00F75DA6" w:rsidRDefault="00F75DA6" w:rsidP="00F75DA6">
      <w:pPr>
        <w:pBdr>
          <w:bottom w:val="single" w:sz="12" w:space="1" w:color="000000"/>
        </w:pBdr>
        <w:ind w:left="360"/>
        <w:rPr>
          <w:b/>
          <w:sz w:val="24"/>
          <w:szCs w:val="24"/>
        </w:rPr>
      </w:pPr>
      <w:r w:rsidRPr="00F75DA6">
        <w:rPr>
          <w:sz w:val="24"/>
          <w:szCs w:val="24"/>
        </w:rPr>
        <w:t xml:space="preserve">-    </w:t>
      </w:r>
      <w:r w:rsidRPr="00F75DA6">
        <w:rPr>
          <w:b/>
          <w:sz w:val="24"/>
          <w:szCs w:val="24"/>
        </w:rPr>
        <w:t xml:space="preserve">Since this mixture will be used in the spin coater on the Laurell-G, waste will collect on the aluminum foil in the spin coater. This waste will be placed in a waste bag specifically labeled for this mixture. Additionally, if there is any resulting waste in liquid form, it will be placed in a specific container </w:t>
      </w:r>
      <w:r>
        <w:rPr>
          <w:b/>
          <w:sz w:val="24"/>
          <w:szCs w:val="24"/>
        </w:rPr>
        <w:t xml:space="preserve">(sealed bottle) </w:t>
      </w:r>
      <w:r w:rsidRPr="00F75DA6">
        <w:rPr>
          <w:b/>
          <w:sz w:val="24"/>
          <w:szCs w:val="24"/>
        </w:rPr>
        <w:t>for this mixture.</w:t>
      </w:r>
    </w:p>
    <w:p w14:paraId="20FDB196" w14:textId="77777777" w:rsidR="00F75DA6" w:rsidRPr="00F75DA6" w:rsidRDefault="00F75DA6" w:rsidP="00F75DA6">
      <w:pPr>
        <w:pBdr>
          <w:bottom w:val="single" w:sz="12" w:space="1" w:color="000000"/>
        </w:pBdr>
        <w:ind w:left="360"/>
        <w:rPr>
          <w:b/>
          <w:sz w:val="24"/>
          <w:szCs w:val="24"/>
        </w:rPr>
      </w:pPr>
    </w:p>
    <w:p w14:paraId="5DF0EE73" w14:textId="77777777" w:rsidR="00504C02" w:rsidRDefault="00504C02">
      <w:pPr>
        <w:rPr>
          <w:rFonts w:ascii="Times New Roman" w:eastAsia="Times New Roman" w:hAnsi="Times New Roman" w:cs="Times New Roman"/>
          <w:sz w:val="24"/>
          <w:szCs w:val="24"/>
        </w:rPr>
      </w:pPr>
    </w:p>
    <w:p w14:paraId="7EF88ACA" w14:textId="77777777" w:rsidR="00504C02" w:rsidRDefault="00605C39">
      <w:pPr>
        <w:rPr>
          <w:sz w:val="24"/>
          <w:szCs w:val="24"/>
        </w:rPr>
      </w:pPr>
      <w:r>
        <w:rPr>
          <w:b/>
          <w:sz w:val="24"/>
          <w:szCs w:val="24"/>
        </w:rPr>
        <w:t>To be completed by the PROM COMMITTEE:</w:t>
      </w:r>
    </w:p>
    <w:p w14:paraId="1FF15F7F" w14:textId="77777777" w:rsidR="00504C02" w:rsidRDefault="00605C39">
      <w:pPr>
        <w:rPr>
          <w:sz w:val="24"/>
          <w:szCs w:val="24"/>
        </w:rPr>
      </w:pPr>
      <w:r>
        <w:rPr>
          <w:sz w:val="24"/>
          <w:szCs w:val="24"/>
        </w:rPr>
        <w:t>Special handling requirements:</w:t>
      </w:r>
    </w:p>
    <w:p w14:paraId="09E94536" w14:textId="77777777" w:rsidR="00504C02" w:rsidRDefault="00504C02">
      <w:pPr>
        <w:rPr>
          <w:sz w:val="24"/>
          <w:szCs w:val="24"/>
        </w:rPr>
      </w:pPr>
    </w:p>
    <w:p w14:paraId="5510D353" w14:textId="77777777" w:rsidR="00504C02" w:rsidRDefault="00605C39">
      <w:pPr>
        <w:rPr>
          <w:sz w:val="24"/>
          <w:szCs w:val="24"/>
        </w:rPr>
      </w:pPr>
      <w:r>
        <w:rPr>
          <w:sz w:val="24"/>
          <w:szCs w:val="24"/>
        </w:rPr>
        <w:t>On-going approval or staff interaction requirements:</w:t>
      </w:r>
    </w:p>
    <w:p w14:paraId="01880587" w14:textId="77777777" w:rsidR="00504C02" w:rsidRDefault="00504C02">
      <w:pPr>
        <w:rPr>
          <w:rFonts w:ascii="Times New Roman" w:eastAsia="Times New Roman" w:hAnsi="Times New Roman" w:cs="Times New Roman"/>
          <w:sz w:val="24"/>
          <w:szCs w:val="24"/>
        </w:rPr>
      </w:pPr>
    </w:p>
    <w:p w14:paraId="5A48AE82" w14:textId="77777777" w:rsidR="00504C02" w:rsidRDefault="00605C39">
      <w:pPr>
        <w:rPr>
          <w:rFonts w:ascii="Times New Roman" w:eastAsia="Times New Roman" w:hAnsi="Times New Roman" w:cs="Times New Roman"/>
          <w:sz w:val="24"/>
          <w:szCs w:val="24"/>
        </w:rPr>
      </w:pPr>
      <w:r>
        <w:rPr>
          <w:sz w:val="24"/>
          <w:szCs w:val="24"/>
        </w:rPr>
        <w:t>Approved By/Date:</w:t>
      </w:r>
    </w:p>
    <w:sectPr w:rsidR="00504C02">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D2CB7A" w14:textId="77777777" w:rsidR="00C44A0F" w:rsidRDefault="00C44A0F">
      <w:pPr>
        <w:spacing w:after="0" w:line="240" w:lineRule="auto"/>
      </w:pPr>
      <w:r>
        <w:separator/>
      </w:r>
    </w:p>
  </w:endnote>
  <w:endnote w:type="continuationSeparator" w:id="0">
    <w:p w14:paraId="7A7B82D3" w14:textId="77777777" w:rsidR="00C44A0F" w:rsidRDefault="00C44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2E38F" w14:textId="77777777" w:rsidR="00504C02" w:rsidRDefault="00605C3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5813E8">
      <w:rPr>
        <w:noProof/>
        <w:color w:val="000000"/>
      </w:rPr>
      <w:t>1</w:t>
    </w:r>
    <w:r>
      <w:rPr>
        <w:color w:val="000000"/>
      </w:rPr>
      <w:fldChar w:fldCharType="end"/>
    </w:r>
  </w:p>
  <w:p w14:paraId="5B10A3ED" w14:textId="77777777" w:rsidR="00504C02" w:rsidRDefault="00605C3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A7C836" w14:textId="77777777" w:rsidR="00C44A0F" w:rsidRDefault="00C44A0F">
      <w:pPr>
        <w:spacing w:after="0" w:line="240" w:lineRule="auto"/>
      </w:pPr>
      <w:r>
        <w:separator/>
      </w:r>
    </w:p>
  </w:footnote>
  <w:footnote w:type="continuationSeparator" w:id="0">
    <w:p w14:paraId="68E900E0" w14:textId="77777777" w:rsidR="00C44A0F" w:rsidRDefault="00C44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9DA03" w14:textId="77777777" w:rsidR="00504C02" w:rsidRDefault="00605C39">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CAD04EC" wp14:editId="64A288E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93D61EF" w14:textId="77777777" w:rsidR="00504C02" w:rsidRDefault="00504C0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1A796A"/>
    <w:multiLevelType w:val="hybridMultilevel"/>
    <w:tmpl w:val="A3601728"/>
    <w:lvl w:ilvl="0" w:tplc="E1BC9BD4">
      <w:start w:val="65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25751"/>
    <w:multiLevelType w:val="multilevel"/>
    <w:tmpl w:val="31862E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02"/>
    <w:rsid w:val="001A658A"/>
    <w:rsid w:val="003458AE"/>
    <w:rsid w:val="0036697B"/>
    <w:rsid w:val="003E0272"/>
    <w:rsid w:val="00504C02"/>
    <w:rsid w:val="005813E8"/>
    <w:rsid w:val="00605C39"/>
    <w:rsid w:val="006B24A1"/>
    <w:rsid w:val="00712F0A"/>
    <w:rsid w:val="007F71E3"/>
    <w:rsid w:val="0099201E"/>
    <w:rsid w:val="00C44A0F"/>
    <w:rsid w:val="00E749DA"/>
    <w:rsid w:val="00EF4CC9"/>
    <w:rsid w:val="00F75DA6"/>
    <w:rsid w:val="00F95C56"/>
    <w:rsid w:val="00FA3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8C46EA"/>
  <w15:docId w15:val="{CB88FF07-B95D-3B4B-A0C5-38ECD170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12F0A"/>
    <w:pPr>
      <w:ind w:left="720"/>
      <w:contextualSpacing/>
    </w:pPr>
  </w:style>
  <w:style w:type="character" w:styleId="Hyperlink">
    <w:name w:val="Hyperlink"/>
    <w:basedOn w:val="DefaultParagraphFont"/>
    <w:uiPriority w:val="99"/>
    <w:unhideWhenUsed/>
    <w:rsid w:val="00712F0A"/>
    <w:rPr>
      <w:color w:val="0000FF" w:themeColor="hyperlink"/>
      <w:u w:val="single"/>
    </w:rPr>
  </w:style>
  <w:style w:type="character" w:styleId="UnresolvedMention">
    <w:name w:val="Unresolved Mention"/>
    <w:basedOn w:val="DefaultParagraphFont"/>
    <w:uiPriority w:val="99"/>
    <w:semiHidden/>
    <w:unhideWhenUsed/>
    <w:rsid w:val="00712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www.sigmaaldrich.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Viveros Salazar</cp:lastModifiedBy>
  <cp:revision>9</cp:revision>
  <dcterms:created xsi:type="dcterms:W3CDTF">2019-06-08T23:41:00Z</dcterms:created>
  <dcterms:modified xsi:type="dcterms:W3CDTF">2019-07-22T22:52:00Z</dcterms:modified>
</cp:coreProperties>
</file>