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0"/>
          <w:sz w:val="24"/>
          <w:szCs w:val="24"/>
          <w:vertAlign w:val="baseline"/>
        </w:rPr>
      </w:pPr>
      <w:r w:rsidDel="00000000" w:rsidR="00000000" w:rsidRPr="00000000">
        <w:rPr>
          <w:b w:val="1"/>
          <w:sz w:val="24"/>
          <w:szCs w:val="24"/>
          <w:rtl w:val="0"/>
        </w:rPr>
        <w:t xml:space="preserve">Request </w:t>
      </w:r>
      <w:r w:rsidDel="00000000" w:rsidR="00000000" w:rsidRPr="00000000">
        <w:rPr>
          <w:b w:val="1"/>
          <w:sz w:val="24"/>
          <w:szCs w:val="24"/>
          <w:vertAlign w:val="baseline"/>
          <w:rtl w:val="0"/>
        </w:rPr>
        <w:t xml:space="preserve">Title: S</w:t>
      </w:r>
      <w:r w:rsidDel="00000000" w:rsidR="00000000" w:rsidRPr="00000000">
        <w:rPr>
          <w:b w:val="1"/>
          <w:sz w:val="24"/>
          <w:szCs w:val="24"/>
          <w:rtl w:val="0"/>
        </w:rPr>
        <w:t xml:space="preserve">ugar Layer Processing</w:t>
      </w:r>
      <w:r w:rsidDel="00000000" w:rsidR="00000000" w:rsidRPr="00000000">
        <w:rPr>
          <w:b w:val="1"/>
          <w:sz w:val="24"/>
          <w:szCs w:val="24"/>
          <w:vertAlign w:val="baseline"/>
          <w:rtl w:val="0"/>
        </w:rPr>
        <w:t xml:space="preserve">  </w:t>
        <w:tab/>
        <w:tab/>
        <w:tab/>
        <w:tab/>
        <w:tab/>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0"/>
          <w:sz w:val="24"/>
          <w:szCs w:val="24"/>
          <w:vertAlign w:val="baseline"/>
        </w:rPr>
      </w:pPr>
      <w:r w:rsidDel="00000000" w:rsidR="00000000" w:rsidRPr="00000000">
        <w:rPr>
          <w:b w:val="1"/>
          <w:sz w:val="24"/>
          <w:szCs w:val="24"/>
          <w:vertAlign w:val="baseline"/>
          <w:rtl w:val="0"/>
        </w:rPr>
        <w:t xml:space="preserve">Requestor: Arash Af</w:t>
      </w:r>
      <w:r w:rsidDel="00000000" w:rsidR="00000000" w:rsidRPr="00000000">
        <w:rPr>
          <w:b w:val="1"/>
          <w:sz w:val="24"/>
          <w:szCs w:val="24"/>
          <w:rtl w:val="0"/>
        </w:rPr>
        <w:t xml:space="preserve">sarifard</w:t>
      </w:r>
      <w:r w:rsidDel="00000000" w:rsidR="00000000" w:rsidRPr="00000000">
        <w:rPr>
          <w:rFonts w:ascii="Times New Roman" w:cs="Times New Roman" w:eastAsia="Times New Roman" w:hAnsi="Times New Roman"/>
          <w:b w:val="1"/>
          <w:sz w:val="24"/>
          <w:szCs w:val="24"/>
          <w:vertAlign w:val="baseline"/>
          <w:rtl w:val="0"/>
        </w:rPr>
        <w:tab/>
        <w:tab/>
        <w:tab/>
        <w:tab/>
        <w:tab/>
        <w:tab/>
      </w:r>
      <w:r w:rsidDel="00000000" w:rsidR="00000000" w:rsidRPr="00000000">
        <w:rPr>
          <w:b w:val="1"/>
          <w:sz w:val="24"/>
          <w:szCs w:val="24"/>
          <w:vertAlign w:val="baseline"/>
          <w:rtl w:val="0"/>
        </w:rPr>
        <w:t xml:space="preserve">Date:  11/26/2019</w:t>
      </w:r>
      <w:r w:rsidDel="00000000" w:rsidR="00000000" w:rsidRPr="00000000">
        <w:rPr>
          <w:rtl w:val="0"/>
        </w:rPr>
      </w:r>
    </w:p>
    <w:p w:rsidR="00000000" w:rsidDel="00000000" w:rsidP="00000000" w:rsidRDefault="00000000" w:rsidRPr="00000000" w14:paraId="00000003">
      <w:pPr>
        <w:rPr>
          <w:b w:val="0"/>
          <w:sz w:val="24"/>
          <w:szCs w:val="24"/>
          <w:vertAlign w:val="baseline"/>
        </w:rPr>
      </w:pPr>
      <w:r w:rsidDel="00000000" w:rsidR="00000000" w:rsidRPr="00000000">
        <w:rPr>
          <w:b w:val="1"/>
          <w:sz w:val="24"/>
          <w:szCs w:val="24"/>
          <w:vertAlign w:val="baseline"/>
          <w:rtl w:val="0"/>
        </w:rPr>
        <w:t xml:space="preserve">Non-SNF staff, please complete the following:</w:t>
      </w:r>
      <w:r w:rsidDel="00000000" w:rsidR="00000000" w:rsidRPr="00000000">
        <w:rPr>
          <w:rtl w:val="0"/>
        </w:rPr>
      </w:r>
    </w:p>
    <w:p w:rsidR="00000000" w:rsidDel="00000000" w:rsidP="00000000" w:rsidRDefault="00000000" w:rsidRPr="00000000" w14:paraId="00000004">
      <w:pPr>
        <w:rPr>
          <w:b w:val="0"/>
          <w:sz w:val="24"/>
          <w:szCs w:val="24"/>
          <w:vertAlign w:val="baseline"/>
        </w:rPr>
      </w:pPr>
      <w:r w:rsidDel="00000000" w:rsidR="00000000" w:rsidRPr="00000000">
        <w:rPr>
          <w:b w:val="1"/>
          <w:sz w:val="24"/>
          <w:szCs w:val="24"/>
          <w:vertAlign w:val="baseline"/>
          <w:rtl w:val="0"/>
        </w:rPr>
        <w:t xml:space="preserve">Badger ID: asafsari</w:t>
        <w:tab/>
        <w:tab/>
        <w:tab/>
        <w:tab/>
      </w:r>
      <w:r w:rsidDel="00000000" w:rsidR="00000000" w:rsidRPr="00000000">
        <w:rPr>
          <w:rtl w:val="0"/>
        </w:rPr>
      </w:r>
    </w:p>
    <w:p w:rsidR="00000000" w:rsidDel="00000000" w:rsidP="00000000" w:rsidRDefault="00000000" w:rsidRPr="00000000" w14:paraId="00000005">
      <w:pPr>
        <w:rPr>
          <w:b w:val="0"/>
          <w:sz w:val="24"/>
          <w:szCs w:val="24"/>
          <w:vertAlign w:val="baseline"/>
        </w:rPr>
      </w:pPr>
      <w:r w:rsidDel="00000000" w:rsidR="00000000" w:rsidRPr="00000000">
        <w:rPr>
          <w:b w:val="1"/>
          <w:sz w:val="24"/>
          <w:szCs w:val="24"/>
          <w:vertAlign w:val="baseline"/>
          <w:rtl w:val="0"/>
        </w:rPr>
        <w:t xml:space="preserve">Company name/PI: Genapsys Inc.</w:t>
      </w:r>
      <w:r w:rsidDel="00000000" w:rsidR="00000000" w:rsidRPr="00000000">
        <w:rPr>
          <w:rtl w:val="0"/>
        </w:rPr>
      </w:r>
    </w:p>
    <w:p w:rsidR="00000000" w:rsidDel="00000000" w:rsidP="00000000" w:rsidRDefault="00000000" w:rsidRPr="00000000" w14:paraId="00000006">
      <w:pPr>
        <w:pBdr>
          <w:bottom w:color="000000" w:space="1" w:sz="12" w:val="single"/>
        </w:pBdr>
        <w:spacing w:after="0" w:lineRule="auto"/>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Send completed form to: snf-promcommittee@lists.stanford.edu</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numPr>
          <w:ilvl w:val="0"/>
          <w:numId w:val="1"/>
        </w:numPr>
        <w:ind w:left="360" w:hanging="360"/>
        <w:rPr>
          <w:sz w:val="24"/>
          <w:szCs w:val="24"/>
        </w:rPr>
      </w:pPr>
      <w:r w:rsidDel="00000000" w:rsidR="00000000" w:rsidRPr="00000000">
        <w:rPr>
          <w:b w:val="1"/>
          <w:sz w:val="24"/>
          <w:szCs w:val="24"/>
          <w:vertAlign w:val="baseline"/>
          <w:rtl w:val="0"/>
        </w:rPr>
        <w:t xml:space="preserve">The chemical or material</w:t>
      </w:r>
      <w:r w:rsidDel="00000000" w:rsidR="00000000" w:rsidRPr="00000000">
        <w:rPr>
          <w:rtl w:val="0"/>
        </w:rPr>
      </w:r>
    </w:p>
    <w:p w:rsidR="00000000" w:rsidDel="00000000" w:rsidP="00000000" w:rsidRDefault="00000000" w:rsidRPr="00000000" w14:paraId="00000009">
      <w:pPr>
        <w:ind w:left="360" w:firstLine="0"/>
        <w:rPr>
          <w:sz w:val="24"/>
          <w:szCs w:val="24"/>
        </w:rPr>
      </w:pPr>
      <w:r w:rsidDel="00000000" w:rsidR="00000000" w:rsidRPr="00000000">
        <w:rPr>
          <w:sz w:val="24"/>
          <w:szCs w:val="24"/>
          <w:rtl w:val="0"/>
        </w:rPr>
        <w:t xml:space="preserve">The solution I am using has a still varying amount of 3 ingredients: </w:t>
      </w:r>
    </w:p>
    <w:p w:rsidR="00000000" w:rsidDel="00000000" w:rsidP="00000000" w:rsidRDefault="00000000" w:rsidRPr="00000000" w14:paraId="0000000A">
      <w:pPr>
        <w:ind w:left="360" w:firstLine="0"/>
        <w:rPr>
          <w:sz w:val="24"/>
          <w:szCs w:val="24"/>
        </w:rPr>
      </w:pPr>
      <w:r w:rsidDel="00000000" w:rsidR="00000000" w:rsidRPr="00000000">
        <w:rPr>
          <w:b w:val="1"/>
          <w:sz w:val="24"/>
          <w:szCs w:val="24"/>
          <w:rtl w:val="0"/>
        </w:rPr>
        <w:t xml:space="preserve">Deionized Water</w:t>
      </w:r>
      <w:r w:rsidDel="00000000" w:rsidR="00000000" w:rsidRPr="00000000">
        <w:rPr>
          <w:sz w:val="24"/>
          <w:szCs w:val="24"/>
          <w:rtl w:val="0"/>
        </w:rPr>
        <w:t xml:space="preserve">-Already present in lab so MSDS should not be necessary</w:t>
      </w:r>
    </w:p>
    <w:p w:rsidR="00000000" w:rsidDel="00000000" w:rsidP="00000000" w:rsidRDefault="00000000" w:rsidRPr="00000000" w14:paraId="0000000B">
      <w:pPr>
        <w:ind w:left="360" w:firstLine="0"/>
        <w:rPr>
          <w:color w:val="222222"/>
          <w:sz w:val="24"/>
          <w:szCs w:val="24"/>
          <w:highlight w:val="white"/>
        </w:rPr>
      </w:pPr>
      <w:r w:rsidDel="00000000" w:rsidR="00000000" w:rsidRPr="00000000">
        <w:rPr>
          <w:b w:val="1"/>
          <w:sz w:val="24"/>
          <w:szCs w:val="24"/>
          <w:rtl w:val="0"/>
        </w:rPr>
        <w:t xml:space="preserve">Trehalose </w:t>
      </w:r>
      <w:r w:rsidDel="00000000" w:rsidR="00000000" w:rsidRPr="00000000">
        <w:rPr>
          <w:sz w:val="24"/>
          <w:szCs w:val="24"/>
          <w:rtl w:val="0"/>
        </w:rPr>
        <w:t xml:space="preserve">or </w:t>
      </w:r>
      <w:r w:rsidDel="00000000" w:rsidR="00000000" w:rsidRPr="00000000">
        <w:rPr>
          <w:color w:val="222222"/>
          <w:sz w:val="24"/>
          <w:szCs w:val="24"/>
          <w:highlight w:val="white"/>
          <w:rtl w:val="0"/>
        </w:rPr>
        <w:t xml:space="preserve">mycose or tremalose</w:t>
      </w:r>
    </w:p>
    <w:p w:rsidR="00000000" w:rsidDel="00000000" w:rsidP="00000000" w:rsidRDefault="00000000" w:rsidRPr="00000000" w14:paraId="0000000C">
      <w:pPr>
        <w:ind w:left="360" w:firstLine="0"/>
        <w:rPr>
          <w:color w:val="222222"/>
          <w:sz w:val="24"/>
          <w:szCs w:val="24"/>
          <w:highlight w:val="white"/>
        </w:rPr>
      </w:pPr>
      <w:r w:rsidDel="00000000" w:rsidR="00000000" w:rsidRPr="00000000">
        <w:rPr>
          <w:color w:val="222222"/>
          <w:sz w:val="24"/>
          <w:szCs w:val="24"/>
          <w:highlight w:val="white"/>
          <w:rtl w:val="0"/>
        </w:rPr>
        <w:t xml:space="preserve">MSDS of Trehalose: </w:t>
      </w:r>
      <w:hyperlink r:id="rId6">
        <w:r w:rsidDel="00000000" w:rsidR="00000000" w:rsidRPr="00000000">
          <w:rPr>
            <w:color w:val="1155cc"/>
            <w:sz w:val="24"/>
            <w:szCs w:val="24"/>
            <w:highlight w:val="white"/>
            <w:u w:val="single"/>
            <w:rtl w:val="0"/>
          </w:rPr>
          <w:t xml:space="preserve">https://www.sigmaaldrich.com/MSDS/MSDS/DisplayMSDSPage.do?country=US&amp;language=en&amp;productNumber=T9449&amp;brand=SIGMA&amp;PageToGoToURL=https%3A%2F%2Fwww.sigmaaldrich.com%2Fcatalog%2Fproduct%2Fsigma%2Ft9449%3Flang%3Den</w:t>
        </w:r>
      </w:hyperlink>
      <w:r w:rsidDel="00000000" w:rsidR="00000000" w:rsidRPr="00000000">
        <w:rPr>
          <w:rtl w:val="0"/>
        </w:rPr>
      </w:r>
    </w:p>
    <w:p w:rsidR="00000000" w:rsidDel="00000000" w:rsidP="00000000" w:rsidRDefault="00000000" w:rsidRPr="00000000" w14:paraId="0000000D">
      <w:pPr>
        <w:ind w:left="360" w:firstLine="0"/>
        <w:rPr>
          <w:sz w:val="24"/>
          <w:szCs w:val="24"/>
        </w:rPr>
      </w:pPr>
      <w:r w:rsidDel="00000000" w:rsidR="00000000" w:rsidRPr="00000000">
        <w:rPr>
          <w:b w:val="1"/>
          <w:sz w:val="24"/>
          <w:szCs w:val="24"/>
          <w:rtl w:val="0"/>
        </w:rPr>
        <w:t xml:space="preserve">Sucrose</w:t>
      </w:r>
      <w:r w:rsidDel="00000000" w:rsidR="00000000" w:rsidRPr="00000000">
        <w:rPr>
          <w:rtl w:val="0"/>
        </w:rPr>
      </w:r>
    </w:p>
    <w:p w:rsidR="00000000" w:rsidDel="00000000" w:rsidP="00000000" w:rsidRDefault="00000000" w:rsidRPr="00000000" w14:paraId="0000000E">
      <w:pPr>
        <w:ind w:left="360" w:firstLine="0"/>
        <w:rPr>
          <w:sz w:val="24"/>
          <w:szCs w:val="24"/>
        </w:rPr>
      </w:pPr>
      <w:r w:rsidDel="00000000" w:rsidR="00000000" w:rsidRPr="00000000">
        <w:rPr>
          <w:sz w:val="24"/>
          <w:szCs w:val="24"/>
          <w:rtl w:val="0"/>
        </w:rPr>
        <w:t xml:space="preserve">MSDS of Sucrose: </w:t>
      </w:r>
      <w:hyperlink r:id="rId7">
        <w:r w:rsidDel="00000000" w:rsidR="00000000" w:rsidRPr="00000000">
          <w:rPr>
            <w:color w:val="1155cc"/>
            <w:sz w:val="24"/>
            <w:szCs w:val="24"/>
            <w:u w:val="single"/>
            <w:rtl w:val="0"/>
          </w:rPr>
          <w:t xml:space="preserve">https://www.sigmaaldrich.com/MSDS/MSDS/DisplayMSDSPage.do?country=US&amp;language=en&amp;productNumber=S8501&amp;brand=SIGMA&amp;PageToGoToURL=https%3A%2F%2Fwww.sigmaaldrich.com%2Fcatalog%2Fproduct%2Fsigma%2Fs8501%3Flang%3Den</w:t>
        </w:r>
      </w:hyperlink>
      <w:r w:rsidDel="00000000" w:rsidR="00000000" w:rsidRPr="00000000">
        <w:rPr>
          <w:rtl w:val="0"/>
        </w:rPr>
      </w:r>
    </w:p>
    <w:p w:rsidR="00000000" w:rsidDel="00000000" w:rsidP="00000000" w:rsidRDefault="00000000" w:rsidRPr="00000000" w14:paraId="0000000F">
      <w:pPr>
        <w:ind w:left="360" w:firstLine="0"/>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360" w:hanging="360"/>
        <w:rPr>
          <w:sz w:val="24"/>
          <w:szCs w:val="24"/>
        </w:rPr>
      </w:pPr>
      <w:r w:rsidDel="00000000" w:rsidR="00000000" w:rsidRPr="00000000">
        <w:rPr>
          <w:b w:val="1"/>
          <w:sz w:val="24"/>
          <w:szCs w:val="24"/>
          <w:vertAlign w:val="baseline"/>
          <w:rtl w:val="0"/>
        </w:rPr>
        <w:t xml:space="preserve">Vendor/manufacturer info:</w:t>
      </w:r>
      <w:r w:rsidDel="00000000" w:rsidR="00000000" w:rsidRPr="00000000">
        <w:rPr>
          <w:rtl w:val="0"/>
        </w:rPr>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Sigma-Aldrich</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3050 Spruce Street, St. Louis, MO 63103</w:t>
      </w:r>
    </w:p>
    <w:p w:rsidR="00000000" w:rsidDel="00000000" w:rsidP="00000000" w:rsidRDefault="00000000" w:rsidRPr="00000000" w14:paraId="00000013">
      <w:pPr>
        <w:ind w:left="0" w:firstLine="0"/>
        <w:rPr>
          <w:rFonts w:ascii="Arial" w:cs="Arial" w:eastAsia="Arial" w:hAnsi="Arial"/>
          <w:color w:val="222222"/>
          <w:sz w:val="21"/>
          <w:szCs w:val="21"/>
          <w:highlight w:val="white"/>
        </w:rPr>
      </w:pPr>
      <w:r w:rsidDel="00000000" w:rsidR="00000000" w:rsidRPr="00000000">
        <w:rPr>
          <w:rFonts w:ascii="Arial" w:cs="Arial" w:eastAsia="Arial" w:hAnsi="Arial"/>
          <w:color w:val="222222"/>
          <w:sz w:val="21"/>
          <w:szCs w:val="21"/>
          <w:highlight w:val="white"/>
          <w:rtl w:val="0"/>
        </w:rPr>
        <w:t xml:space="preserve">1 (800) 325-3010</w:t>
      </w:r>
    </w:p>
    <w:p w:rsidR="00000000" w:rsidDel="00000000" w:rsidP="00000000" w:rsidRDefault="00000000" w:rsidRPr="00000000" w14:paraId="00000014">
      <w:pPr>
        <w:ind w:left="0" w:firstLine="0"/>
        <w:rPr>
          <w:rFonts w:ascii="Arial" w:cs="Arial" w:eastAsia="Arial" w:hAnsi="Arial"/>
          <w:color w:val="222222"/>
          <w:sz w:val="21"/>
          <w:szCs w:val="21"/>
          <w:highlight w:val="white"/>
        </w:rPr>
      </w:pPr>
      <w:hyperlink r:id="rId8">
        <w:r w:rsidDel="00000000" w:rsidR="00000000" w:rsidRPr="00000000">
          <w:rPr>
            <w:rFonts w:ascii="Arial" w:cs="Arial" w:eastAsia="Arial" w:hAnsi="Arial"/>
            <w:color w:val="1155cc"/>
            <w:sz w:val="21"/>
            <w:szCs w:val="21"/>
            <w:highlight w:val="white"/>
            <w:u w:val="single"/>
            <w:rtl w:val="0"/>
          </w:rPr>
          <w:t xml:space="preserve">https://www.sigmaaldrich.com/united-states.html</w:t>
        </w:r>
      </w:hyperlink>
      <w:r w:rsidDel="00000000" w:rsidR="00000000" w:rsidRPr="00000000">
        <w:rPr>
          <w:rtl w:val="0"/>
        </w:rPr>
      </w:r>
    </w:p>
    <w:p w:rsidR="00000000" w:rsidDel="00000000" w:rsidP="00000000" w:rsidRDefault="00000000" w:rsidRPr="00000000" w14:paraId="00000015">
      <w:pPr>
        <w:ind w:left="0" w:firstLine="0"/>
        <w:rPr>
          <w:rFonts w:ascii="Arial" w:cs="Arial" w:eastAsia="Arial" w:hAnsi="Arial"/>
          <w:color w:val="222222"/>
          <w:sz w:val="21"/>
          <w:szCs w:val="21"/>
          <w:highlight w:val="white"/>
        </w:rPr>
      </w:pPr>
      <w:r w:rsidDel="00000000" w:rsidR="00000000" w:rsidRPr="00000000">
        <w:rPr>
          <w:rtl w:val="0"/>
        </w:rPr>
      </w:r>
    </w:p>
    <w:p w:rsidR="00000000" w:rsidDel="00000000" w:rsidP="00000000" w:rsidRDefault="00000000" w:rsidRPr="00000000" w14:paraId="00000016">
      <w:pPr>
        <w:numPr>
          <w:ilvl w:val="0"/>
          <w:numId w:val="1"/>
        </w:numPr>
        <w:ind w:left="360" w:hanging="360"/>
        <w:rPr>
          <w:sz w:val="24"/>
          <w:szCs w:val="24"/>
        </w:rPr>
      </w:pPr>
      <w:r w:rsidDel="00000000" w:rsidR="00000000" w:rsidRPr="00000000">
        <w:rPr>
          <w:b w:val="1"/>
          <w:sz w:val="24"/>
          <w:szCs w:val="24"/>
          <w:vertAlign w:val="baseline"/>
          <w:rtl w:val="0"/>
        </w:rPr>
        <w:t xml:space="preserve">Reason for request</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sz w:val="24"/>
          <w:szCs w:val="24"/>
          <w:rtl w:val="0"/>
        </w:rPr>
        <w:t xml:space="preserve">I need a way to determine the thickness of the material when layered on a wafer with our concentrations of the solution and layering changing.</w:t>
      </w:r>
    </w:p>
    <w:p w:rsidR="00000000" w:rsidDel="00000000" w:rsidP="00000000" w:rsidRDefault="00000000" w:rsidRPr="00000000" w14:paraId="00000018">
      <w:pPr>
        <w:numPr>
          <w:ilvl w:val="0"/>
          <w:numId w:val="1"/>
        </w:numPr>
        <w:ind w:left="360" w:hanging="360"/>
        <w:rPr>
          <w:sz w:val="24"/>
          <w:szCs w:val="24"/>
        </w:rPr>
      </w:pPr>
      <w:r w:rsidDel="00000000" w:rsidR="00000000" w:rsidRPr="00000000">
        <w:rPr>
          <w:b w:val="1"/>
          <w:sz w:val="24"/>
          <w:szCs w:val="24"/>
          <w:vertAlign w:val="baseline"/>
          <w:rtl w:val="0"/>
        </w:rPr>
        <w:t xml:space="preserve">Process Flow:</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I would need to plasma clean the wafer before putting on the sugar layer. So I would use the MRC to condition the SiO2 wafer. Next, I would like to use the Headway to manually spin and bake the sugar on a hotplate as a layer onto the wafer. If this is not possible, I will take the wafer out, spin and heat bake it on at my own lab, then bring it back for the next steps. At this point, the sugar is a glass, solid layer on top that does not dissolve out particles. It is somewhat sticky, similar to photoresist. I would then use a tool to determine the sugar layer’s thickness. I am considering the Filmetrics, Ellipsometer and Profilometer. It would be best to do the 1st or 2nd option as those are purely optical based.</w:t>
      </w:r>
    </w:p>
    <w:p w:rsidR="00000000" w:rsidDel="00000000" w:rsidP="00000000" w:rsidRDefault="00000000" w:rsidRPr="00000000" w14:paraId="0000001A">
      <w:pPr>
        <w:numPr>
          <w:ilvl w:val="0"/>
          <w:numId w:val="1"/>
        </w:numPr>
        <w:ind w:left="360" w:hanging="360"/>
        <w:rPr>
          <w:sz w:val="24"/>
          <w:szCs w:val="24"/>
        </w:rPr>
      </w:pPr>
      <w:r w:rsidDel="00000000" w:rsidR="00000000" w:rsidRPr="00000000">
        <w:rPr>
          <w:b w:val="1"/>
          <w:sz w:val="24"/>
          <w:szCs w:val="24"/>
          <w:vertAlign w:val="baseline"/>
          <w:rtl w:val="0"/>
        </w:rPr>
        <w:t xml:space="preserve">Amount and form. </w:t>
      </w: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The sugar is in an aqueous solution. The sugar is completely dissolved and does not reform in solution. I would mix it at my own lab and thus I would not need to bring the powders of sugars into the lab, only the fully dissolved solution. I would bring in 20-50 mL at a time.</w:t>
      </w:r>
    </w:p>
    <w:p w:rsidR="00000000" w:rsidDel="00000000" w:rsidP="00000000" w:rsidRDefault="00000000" w:rsidRPr="00000000" w14:paraId="0000001C">
      <w:pPr>
        <w:numPr>
          <w:ilvl w:val="0"/>
          <w:numId w:val="1"/>
        </w:numPr>
        <w:ind w:left="360" w:hanging="360"/>
        <w:rPr>
          <w:sz w:val="24"/>
          <w:szCs w:val="24"/>
        </w:rPr>
      </w:pPr>
      <w:r w:rsidDel="00000000" w:rsidR="00000000" w:rsidRPr="00000000">
        <w:rPr>
          <w:b w:val="1"/>
          <w:sz w:val="24"/>
          <w:szCs w:val="24"/>
          <w:vertAlign w:val="baseline"/>
          <w:rtl w:val="0"/>
        </w:rPr>
        <w:t xml:space="preserve">Storage:</w:t>
      </w:r>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sz w:val="24"/>
          <w:szCs w:val="24"/>
          <w:rtl w:val="0"/>
        </w:rPr>
        <w:t xml:space="preserve">The chemical is not intrinsically Reactive, Flammable or Combustible. It would be stored in Chemical Group G. I can also just bring one time use solutions every time if storage in SNF of this chemical is cause for concern.</w:t>
      </w:r>
    </w:p>
    <w:p w:rsidR="00000000" w:rsidDel="00000000" w:rsidP="00000000" w:rsidRDefault="00000000" w:rsidRPr="00000000" w14:paraId="0000001E">
      <w:pPr>
        <w:numPr>
          <w:ilvl w:val="0"/>
          <w:numId w:val="1"/>
        </w:numPr>
        <w:pBdr>
          <w:bottom w:color="000000" w:space="1" w:sz="12" w:val="single"/>
        </w:pBdr>
        <w:ind w:left="360" w:hanging="360"/>
        <w:rPr>
          <w:sz w:val="24"/>
          <w:szCs w:val="24"/>
        </w:rPr>
      </w:pPr>
      <w:r w:rsidDel="00000000" w:rsidR="00000000" w:rsidRPr="00000000">
        <w:rPr>
          <w:b w:val="1"/>
          <w:sz w:val="24"/>
          <w:szCs w:val="24"/>
          <w:vertAlign w:val="baseline"/>
          <w:rtl w:val="0"/>
        </w:rPr>
        <w:t xml:space="preserve">Disposal</w:t>
      </w:r>
      <w:r w:rsidDel="00000000" w:rsidR="00000000" w:rsidRPr="00000000">
        <w:rPr>
          <w:sz w:val="24"/>
          <w:szCs w:val="24"/>
          <w:vertAlign w:val="baseline"/>
          <w:rtl w:val="0"/>
        </w:rPr>
        <w:t xml:space="preserve">:</w:t>
      </w:r>
    </w:p>
    <w:p w:rsidR="00000000" w:rsidDel="00000000" w:rsidP="00000000" w:rsidRDefault="00000000" w:rsidRPr="00000000" w14:paraId="0000001F">
      <w:pPr>
        <w:pBdr>
          <w:bottom w:color="000000" w:space="1" w:sz="12" w:val="single"/>
        </w:pBdr>
        <w:ind w:left="0" w:firstLine="0"/>
        <w:rPr>
          <w:sz w:val="24"/>
          <w:szCs w:val="24"/>
        </w:rPr>
      </w:pPr>
      <w:r w:rsidDel="00000000" w:rsidR="00000000" w:rsidRPr="00000000">
        <w:rPr>
          <w:sz w:val="24"/>
          <w:szCs w:val="24"/>
          <w:rtl w:val="0"/>
        </w:rPr>
        <w:t xml:space="preserve">I would like to be able to dispose of this chemical in general waste as none of the materials are hazardous. If use of the Headway is permitted, then I would dispose of the sugar there as it is spin coated on. If coating is necessary to be done outside SNF, then there will be no need for disposal of the substance as I would not need to bring in the solution.</w:t>
      </w:r>
    </w:p>
    <w:p w:rsidR="00000000" w:rsidDel="00000000" w:rsidP="00000000" w:rsidRDefault="00000000" w:rsidRPr="00000000" w14:paraId="0000002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rPr>
          <w:b w:val="0"/>
          <w:sz w:val="24"/>
          <w:szCs w:val="24"/>
          <w:vertAlign w:val="baseline"/>
        </w:rPr>
      </w:pPr>
      <w:r w:rsidDel="00000000" w:rsidR="00000000" w:rsidRPr="00000000">
        <w:rPr>
          <w:b w:val="1"/>
          <w:sz w:val="24"/>
          <w:szCs w:val="24"/>
          <w:vertAlign w:val="baseline"/>
          <w:rtl w:val="0"/>
        </w:rPr>
        <w:t xml:space="preserve">To be completed by the PROM COMMITTEE:</w:t>
      </w:r>
      <w:r w:rsidDel="00000000" w:rsidR="00000000" w:rsidRPr="00000000">
        <w:rPr>
          <w:rtl w:val="0"/>
        </w:rPr>
      </w:r>
    </w:p>
    <w:p w:rsidR="00000000" w:rsidDel="00000000" w:rsidP="00000000" w:rsidRDefault="00000000" w:rsidRPr="00000000" w14:paraId="00000022">
      <w:pPr>
        <w:rPr>
          <w:sz w:val="24"/>
          <w:szCs w:val="24"/>
          <w:vertAlign w:val="baseline"/>
        </w:rPr>
      </w:pPr>
      <w:r w:rsidDel="00000000" w:rsidR="00000000" w:rsidRPr="00000000">
        <w:rPr>
          <w:sz w:val="24"/>
          <w:szCs w:val="24"/>
          <w:vertAlign w:val="baseline"/>
          <w:rtl w:val="0"/>
        </w:rPr>
        <w:t xml:space="preserve">Special handling requirements:</w:t>
      </w:r>
    </w:p>
    <w:p w:rsidR="00000000" w:rsidDel="00000000" w:rsidP="00000000" w:rsidRDefault="00000000" w:rsidRPr="00000000" w14:paraId="00000023">
      <w:pPr>
        <w:rPr>
          <w:sz w:val="24"/>
          <w:szCs w:val="24"/>
          <w:vertAlign w:val="baseline"/>
        </w:rPr>
      </w:pPr>
      <w:r w:rsidDel="00000000" w:rsidR="00000000" w:rsidRPr="00000000">
        <w:rPr>
          <w:rtl w:val="0"/>
        </w:rPr>
      </w:r>
    </w:p>
    <w:p w:rsidR="00000000" w:rsidDel="00000000" w:rsidP="00000000" w:rsidRDefault="00000000" w:rsidRPr="00000000" w14:paraId="00000024">
      <w:pPr>
        <w:rPr>
          <w:sz w:val="24"/>
          <w:szCs w:val="24"/>
          <w:vertAlign w:val="baseline"/>
        </w:rPr>
      </w:pPr>
      <w:r w:rsidDel="00000000" w:rsidR="00000000" w:rsidRPr="00000000">
        <w:rPr>
          <w:sz w:val="24"/>
          <w:szCs w:val="24"/>
          <w:vertAlign w:val="baseline"/>
          <w:rtl w:val="0"/>
        </w:rPr>
        <w:t xml:space="preserve">On-going approval or staff interaction requirements:</w:t>
      </w:r>
    </w:p>
    <w:p w:rsidR="00000000" w:rsidDel="00000000" w:rsidP="00000000" w:rsidRDefault="00000000" w:rsidRPr="00000000" w14:paraId="0000002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Approved By/Date:</w:t>
      </w:r>
      <w:r w:rsidDel="00000000" w:rsidR="00000000" w:rsidRPr="00000000">
        <w:rPr>
          <w:rtl w:val="0"/>
        </w:rPr>
      </w:r>
    </w:p>
    <w:sectPr>
      <w:headerReference r:id="rId9" w:type="default"/>
      <w:footerReference r:id="rId10"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V1.0</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pBdr>
        <w:bottom w:color="000000" w:space="1" w:sz="4" w:val="single"/>
      </w:pBdr>
      <w:spacing w:after="0" w:lineRule="auto"/>
      <w:ind w:right="-20"/>
      <w:rPr>
        <w:rFonts w:ascii="Arial" w:cs="Arial" w:eastAsia="Arial" w:hAnsi="Arial"/>
        <w:b w:val="0"/>
        <w:smallCaps w:val="0"/>
        <w:sz w:val="32"/>
        <w:szCs w:val="32"/>
        <w:vertAlign w:val="baseline"/>
      </w:rPr>
    </w:pPr>
    <w:r w:rsidDel="00000000" w:rsidR="00000000" w:rsidRPr="00000000">
      <w:rPr>
        <w:rFonts w:ascii="Arial" w:cs="Arial" w:eastAsia="Arial" w:hAnsi="Arial"/>
        <w:b w:val="1"/>
        <w:smallCaps w:val="1"/>
        <w:sz w:val="32"/>
        <w:szCs w:val="32"/>
        <w:vertAlign w:val="baseline"/>
        <w:rtl w:val="0"/>
      </w:rPr>
      <w:t xml:space="preserve"> Process or Materials Review Request Form</w:t>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5372100</wp:posOffset>
          </wp:positionH>
          <wp:positionV relativeFrom="paragraph">
            <wp:posOffset>-457199</wp:posOffset>
          </wp:positionV>
          <wp:extent cx="1371600" cy="105981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1600" cy="1059815"/>
                  </a:xfrm>
                  <a:prstGeom prst="rect"/>
                  <a:ln/>
                </pic:spPr>
              </pic:pic>
            </a:graphicData>
          </a:graphic>
        </wp:anchor>
      </w:drawing>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vertAlign w:val="baseline"/>
      </w:rPr>
    </w:lvl>
    <w:lvl w:ilvl="1">
      <w:start w:val="1"/>
      <w:numFmt w:val="decimal"/>
      <w:lvlText w:val="%2."/>
      <w:lvlJc w:val="left"/>
      <w:pPr>
        <w:ind w:left="1080" w:hanging="360"/>
      </w:pPr>
      <w:rPr>
        <w:rFonts w:ascii="Times New Roman" w:cs="Times New Roman" w:eastAsia="Times New Roman" w:hAnsi="Times New Roman"/>
        <w:vertAlign w:val="baseline"/>
      </w:rPr>
    </w:lvl>
    <w:lvl w:ilvl="2">
      <w:start w:val="1"/>
      <w:numFmt w:val="decimal"/>
      <w:lvlText w:val="%3."/>
      <w:lvlJc w:val="left"/>
      <w:pPr>
        <w:ind w:left="1800" w:hanging="360"/>
      </w:pPr>
      <w:rPr>
        <w:rFonts w:ascii="Times New Roman" w:cs="Times New Roman" w:eastAsia="Times New Roman" w:hAnsi="Times New Roman"/>
        <w:vertAlign w:val="baseline"/>
      </w:rPr>
    </w:lvl>
    <w:lvl w:ilvl="3">
      <w:start w:val="1"/>
      <w:numFmt w:val="decimal"/>
      <w:lvlText w:val="%4."/>
      <w:lvlJc w:val="left"/>
      <w:pPr>
        <w:ind w:left="2520" w:hanging="360"/>
      </w:pPr>
      <w:rPr>
        <w:rFonts w:ascii="Times New Roman" w:cs="Times New Roman" w:eastAsia="Times New Roman" w:hAnsi="Times New Roman"/>
        <w:vertAlign w:val="baseline"/>
      </w:rPr>
    </w:lvl>
    <w:lvl w:ilvl="4">
      <w:start w:val="1"/>
      <w:numFmt w:val="decimal"/>
      <w:lvlText w:val="%5."/>
      <w:lvlJc w:val="left"/>
      <w:pPr>
        <w:ind w:left="3240" w:hanging="360"/>
      </w:pPr>
      <w:rPr>
        <w:rFonts w:ascii="Times New Roman" w:cs="Times New Roman" w:eastAsia="Times New Roman" w:hAnsi="Times New Roman"/>
        <w:vertAlign w:val="baseline"/>
      </w:rPr>
    </w:lvl>
    <w:lvl w:ilvl="5">
      <w:start w:val="1"/>
      <w:numFmt w:val="decimal"/>
      <w:lvlText w:val="%6."/>
      <w:lvlJc w:val="left"/>
      <w:pPr>
        <w:ind w:left="3960" w:hanging="360"/>
      </w:pPr>
      <w:rPr>
        <w:rFonts w:ascii="Times New Roman" w:cs="Times New Roman" w:eastAsia="Times New Roman" w:hAnsi="Times New Roman"/>
        <w:vertAlign w:val="baseline"/>
      </w:rPr>
    </w:lvl>
    <w:lvl w:ilvl="6">
      <w:start w:val="1"/>
      <w:numFmt w:val="decimal"/>
      <w:lvlText w:val="%7."/>
      <w:lvlJc w:val="left"/>
      <w:pPr>
        <w:ind w:left="4680" w:hanging="360"/>
      </w:pPr>
      <w:rPr>
        <w:rFonts w:ascii="Times New Roman" w:cs="Times New Roman" w:eastAsia="Times New Roman" w:hAnsi="Times New Roman"/>
        <w:vertAlign w:val="baseline"/>
      </w:rPr>
    </w:lvl>
    <w:lvl w:ilvl="7">
      <w:start w:val="1"/>
      <w:numFmt w:val="decimal"/>
      <w:lvlText w:val="%8."/>
      <w:lvlJc w:val="left"/>
      <w:pPr>
        <w:ind w:left="5400" w:hanging="360"/>
      </w:pPr>
      <w:rPr>
        <w:rFonts w:ascii="Times New Roman" w:cs="Times New Roman" w:eastAsia="Times New Roman" w:hAnsi="Times New Roman"/>
        <w:vertAlign w:val="baseline"/>
      </w:rPr>
    </w:lvl>
    <w:lvl w:ilvl="8">
      <w:start w:val="1"/>
      <w:numFmt w:val="decimal"/>
      <w:lvlText w:val="%9."/>
      <w:lvlJc w:val="left"/>
      <w:pPr>
        <w:ind w:left="6120" w:hanging="360"/>
      </w:pPr>
      <w:rPr>
        <w:rFonts w:ascii="Times New Roman" w:cs="Times New Roman" w:eastAsia="Times New Roman" w:hAnsi="Times New Roman"/>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igmaaldrich.com/MSDS/MSDS/DisplayMSDSPage.do?country=US&amp;language=en&amp;productNumber=T9449&amp;brand=SIGMA&amp;PageToGoToURL=https%3A%2F%2Fwww.sigmaaldrich.com%2Fcatalog%2Fproduct%2Fsigma%2Ft9449%3Flang%3Den" TargetMode="External"/><Relationship Id="rId7" Type="http://schemas.openxmlformats.org/officeDocument/2006/relationships/hyperlink" Target="https://www.sigmaaldrich.com/MSDS/MSDS/DisplayMSDSPage.do?country=US&amp;language=en&amp;productNumber=S8501&amp;brand=SIGMA&amp;PageToGoToURL=https%3A%2F%2Fwww.sigmaaldrich.com%2Fcatalog%2Fproduct%2Fsigma%2Fs8501%3Flang%3Den" TargetMode="External"/><Relationship Id="rId8" Type="http://schemas.openxmlformats.org/officeDocument/2006/relationships/hyperlink" Target="https://www.sigmaaldrich.com/united-state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