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2"/>
        <w:gridCol w:w="2239"/>
        <w:gridCol w:w="1781"/>
        <w:gridCol w:w="1781"/>
        <w:gridCol w:w="1781"/>
        <w:gridCol w:w="1781"/>
        <w:gridCol w:w="1181"/>
      </w:tblGrid>
      <w:tr>
        <w:trPr>
          <w:trHeight w:val="6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1,207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exam_age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83.4(4.1)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79.0(0.8)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81.3(0.7)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84.2(0.9)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89.2(2.5)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Forsyth County, 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Jackson,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Minneapolis, 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Washington County, 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Basic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Intermediate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 drinker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Former drinker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 drinker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≥1 APOE ε4 allelel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ε4 allele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935(841)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1,124(919)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1,005(896)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880(837)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731(637)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5,223(2,883)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6,178(3,069)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5,472(2,872)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4,943(2,837)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4,298(2,387)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23,849(7,091)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25,659(6,970)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24,079(6,859)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23,061(7,359)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22,592(6,803)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Stepcount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4,910(2,855)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5,655(2,900)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5,138(2,984)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4,766(2,802)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4,081(2,491)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Verisense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3,192(2,267)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3,865(2,453)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3,414(2,345)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2,930(2,189)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2,560(1,823)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ANOVA; Pearson's Chi-squared test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gsn</cp:lastModifiedBy>
  <cp:revision>9</cp:revision>
  <dcterms:created xsi:type="dcterms:W3CDTF">2017-02-28T11:18:00Z</dcterms:created>
  <dcterms:modified xsi:type="dcterms:W3CDTF">2024-06-12T09:43:12Z</dcterms:modified>
  <cp:category/>
</cp:coreProperties>
</file>