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43A54">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32"/>
        </w:rPr>
      </w:pPr>
      <w:r>
        <w:rPr>
          <w:sz w:val="24"/>
          <w:szCs w:val="32"/>
        </w:rPr>
        <w:t>本</w:t>
      </w:r>
      <w:r>
        <w:rPr>
          <w:rFonts w:hint="eastAsia"/>
          <w:sz w:val="24"/>
          <w:szCs w:val="32"/>
          <w:lang w:val="en-US" w:eastAsia="zh-CN"/>
        </w:rPr>
        <w:t>smoke</w:t>
      </w:r>
      <w:r>
        <w:rPr>
          <w:sz w:val="24"/>
          <w:szCs w:val="32"/>
        </w:rPr>
        <w:t>任务面向五类手势动作识别。</w:t>
      </w:r>
    </w:p>
    <w:p w14:paraId="327B83DD">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32"/>
        </w:rPr>
      </w:pPr>
      <w:r>
        <w:rPr>
          <w:sz w:val="24"/>
          <w:szCs w:val="32"/>
        </w:rPr>
        <w:t>事件相机不同于普通摄像机，不连续输出RGB图像，而是在像素亮度发生变化时输出事件。每个事件包含空间位置、时间戳和极性，其中极性表示亮度增加或亮度减少。</w:t>
      </w:r>
      <w:bookmarkStart w:id="0" w:name="_GoBack"/>
      <w:bookmarkEnd w:id="0"/>
    </w:p>
    <w:p w14:paraId="3F0E6855">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32"/>
        </w:rPr>
      </w:pPr>
      <w:r>
        <w:rPr>
          <w:sz w:val="24"/>
          <w:szCs w:val="32"/>
        </w:rPr>
        <w:t>实验使用Zenodo公开的DVS手势数据，选取4个不同被试的4个会话，共100段动作，包含pinky、elle、yo、index 和 thumb 五类手势，每段动作约持续两秒。</w:t>
      </w:r>
    </w:p>
    <w:p w14:paraId="79B4B2B1">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32"/>
        </w:rPr>
      </w:pPr>
      <w:r>
        <w:rPr>
          <w:sz w:val="24"/>
          <w:szCs w:val="32"/>
        </w:rPr>
        <w:t>预处理首先根据200 Hz标注序列提取动作区间，然后将每段动作划分 8个时间段。每个时间段分别统计ON和OFF两种极性的事件，因此每个动作被表示为一个8×2×32×32的张量。其中，8表示时间步，2表示双极性通道，32×32表示空间分辨率。</w:t>
      </w:r>
    </w:p>
    <w:p w14:paraId="6E97FEC3">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32"/>
        </w:rPr>
      </w:pPr>
      <w:r>
        <w:rPr>
          <w:sz w:val="24"/>
          <w:szCs w:val="32"/>
        </w:rPr>
        <w:t>模型采用轻量级卷积脉冲神经网络。第一层为2到16通道的卷积，步幅为2，后接Group Normalization和LIF神经元。LIF神经元通过膜电位累积时间信息，并在膜电位超过阈值时发放脉冲。</w:t>
      </w:r>
    </w:p>
    <w:p w14:paraId="6FBE3AC7">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32"/>
        </w:rPr>
      </w:pPr>
      <w:r>
        <w:rPr>
          <w:sz w:val="24"/>
          <w:szCs w:val="32"/>
        </w:rPr>
        <w:t>第一层脉冲之后加入可学习的时序通道软门。软门根据当前事件帧的事件密度，以及上一时刻各通道的脉冲率，生成0到1之间的连续门系数。它类似于自动调节的音量旋钮，可以减弱通道信号，但本次实验中还不能真正关闭卷积通道。</w:t>
      </w:r>
    </w:p>
    <w:p w14:paraId="6FCCD2FA">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32"/>
        </w:rPr>
      </w:pPr>
      <w:r>
        <w:rPr>
          <w:sz w:val="24"/>
          <w:szCs w:val="32"/>
        </w:rPr>
        <w:t>实验设置两个对照模型</w:t>
      </w:r>
      <w:r>
        <w:rPr>
          <w:rFonts w:hint="eastAsia"/>
          <w:sz w:val="24"/>
          <w:szCs w:val="32"/>
          <w:lang w:eastAsia="zh-CN"/>
        </w:rPr>
        <w:t>：</w:t>
      </w:r>
      <w:r>
        <w:rPr>
          <w:sz w:val="24"/>
          <w:szCs w:val="32"/>
        </w:rPr>
        <w:t>baseline 的门系数始终为 1；gated模型使用可学习软门。数据划分为：训练集60段，验证集15 段，测试集25段。测试集来自完全没有参与训练的 subject07。</w:t>
      </w:r>
    </w:p>
    <w:p w14:paraId="43A29B9D">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32"/>
        </w:rPr>
      </w:pPr>
      <w:r>
        <w:rPr>
          <w:sz w:val="24"/>
          <w:szCs w:val="32"/>
        </w:rPr>
        <w:t>结果显示，baseline的测试准确率为32%，Macro-F1为 0.251；gated的测试准确率为 40%，Macro-F1为0.367。gated比baseline 提高了 8 个百分点。gated的平均脉冲率为 0.1188，baseline为0.1252，下降约5.1%。但该指标只是脉冲活动代理，不能直接等同于真实硬件节能。</w:t>
      </w:r>
    </w:p>
    <w:p w14:paraId="5CE46760">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32"/>
        </w:rPr>
      </w:pPr>
      <w:r>
        <w:rPr>
          <w:sz w:val="24"/>
          <w:szCs w:val="32"/>
        </w:rPr>
        <w:t>混淆矩阵显示，gated在 25 个测试样本中正确识别10个。elle类识别相对较好，而yo类 5 个样本全部识别错误，主要被预测成pinky或elle。这说明当前主要问题是跨被试泛化能力不足，而不是数据处理或模型训练流程没有运行。</w:t>
      </w:r>
    </w:p>
    <w:p w14:paraId="674F1E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eastAsia="zh-CN"/>
        </w:rPr>
      </w:pPr>
      <w:r>
        <w:rPr>
          <w:sz w:val="24"/>
          <w:szCs w:val="32"/>
        </w:rPr>
        <w:t>总体来看，本次smoke已验证数据读取、事件帧生成、SNN 前向传播、替代梯度训练、软门控、模型保存和独立被试测试的完整流程。门控模型表现出一定的精度提升和脉冲率下降趋势，但 40% 的测试准确率仍不足以证明算法已经达到有效水平</w:t>
      </w:r>
      <w:r>
        <w:rPr>
          <w:rFonts w:hint="eastAsia"/>
          <w:sz w:val="24"/>
          <w:szCs w:val="32"/>
          <w:lang w:eastAsia="zh-CN"/>
        </w:rPr>
        <w:t>。</w:t>
      </w:r>
    </w:p>
    <w:p w14:paraId="020D2E26">
      <w:pPr>
        <w:bidi w:val="0"/>
        <w:rPr>
          <w:rFonts w:hint="eastAsia"/>
          <w:sz w:val="24"/>
          <w:szCs w:val="32"/>
          <w:lang w:eastAsia="zh-CN"/>
        </w:rPr>
      </w:pPr>
    </w:p>
    <w:p w14:paraId="7D7DC18F">
      <w:pPr>
        <w:bidi w:val="0"/>
        <w:rPr>
          <w:rFonts w:hint="eastAsia"/>
          <w:sz w:val="24"/>
          <w:szCs w:val="32"/>
          <w:lang w:eastAsia="zh-CN"/>
        </w:rPr>
      </w:pPr>
    </w:p>
    <w:p w14:paraId="1AEB776A">
      <w:pPr>
        <w:bidi w:val="0"/>
        <w:rPr>
          <w:rFonts w:hint="eastAsia"/>
          <w:sz w:val="24"/>
          <w:szCs w:val="32"/>
          <w:lang w:eastAsia="zh-CN"/>
        </w:rPr>
      </w:pPr>
    </w:p>
    <w:p w14:paraId="3672C304">
      <w:pPr>
        <w:pStyle w:val="3"/>
        <w:keepNext w:val="0"/>
        <w:keepLines w:val="0"/>
        <w:widowControl/>
        <w:suppressLineNumbers w:val="0"/>
      </w:pPr>
    </w:p>
    <w:p w14:paraId="4657986E">
      <w:pPr>
        <w:pStyle w:val="3"/>
        <w:keepNext w:val="0"/>
        <w:keepLines w:val="0"/>
        <w:widowControl/>
        <w:suppressLineNumbers w:val="0"/>
      </w:pPr>
    </w:p>
    <w:p w14:paraId="4EAAA115">
      <w:pPr>
        <w:pStyle w:val="3"/>
        <w:keepNext w:val="0"/>
        <w:keepLines w:val="0"/>
        <w:widowControl/>
        <w:suppressLineNumbers w:val="0"/>
      </w:pPr>
    </w:p>
    <w:p w14:paraId="741850B7">
      <w:pPr>
        <w:pStyle w:val="3"/>
        <w:keepNext w:val="0"/>
        <w:keepLines w:val="0"/>
        <w:widowControl/>
        <w:suppressLineNumbers w:val="0"/>
      </w:pPr>
    </w:p>
    <w:p w14:paraId="3D85A6DA">
      <w:pPr>
        <w:pStyle w:val="3"/>
        <w:keepNext w:val="0"/>
        <w:keepLines w:val="0"/>
        <w:widowControl/>
        <w:suppressLineNumbers w:val="0"/>
      </w:pPr>
    </w:p>
    <w:p w14:paraId="0DAA4E9D">
      <w:pPr>
        <w:bidi w:val="0"/>
        <w:rPr>
          <w:rFonts w:hint="default" w:ascii="Times New Roman" w:hAnsi="Times New Roman" w:cs="Times New Roman"/>
        </w:rPr>
      </w:pPr>
      <w:r>
        <w:rPr>
          <w:rFonts w:hint="default" w:ascii="Times New Roman" w:hAnsi="Times New Roman" w:cs="Times New Roman"/>
        </w:rPr>
        <w:t>The following is an introduction to the first-stage smoke experiment on event-camera action recognition using a spiking neural network with temporal channel gating.</w:t>
      </w:r>
    </w:p>
    <w:p w14:paraId="68274E9D">
      <w:pPr>
        <w:bidi w:val="0"/>
        <w:rPr>
          <w:rFonts w:hint="default" w:ascii="Times New Roman" w:hAnsi="Times New Roman" w:cs="Times New Roman"/>
        </w:rPr>
      </w:pPr>
      <w:r>
        <w:rPr>
          <w:rFonts w:hint="default" w:ascii="Times New Roman" w:hAnsi="Times New Roman" w:cs="Times New Roman"/>
        </w:rPr>
        <w:t>The task is five-class hand-gesture recognition. Unlike a conventional camera, an event camera does not continuously output RGB images. Instead, it records an event whenever the brightness at a pixel changes. Each event contains a spatial location, a timestamp, and a polarity indicating either an increase or a decrease in brightness.</w:t>
      </w:r>
    </w:p>
    <w:p w14:paraId="14853C76">
      <w:pPr>
        <w:bidi w:val="0"/>
        <w:rPr>
          <w:rFonts w:hint="default" w:ascii="Times New Roman" w:hAnsi="Times New Roman" w:cs="Times New Roman"/>
        </w:rPr>
      </w:pPr>
      <w:r>
        <w:rPr>
          <w:rFonts w:hint="default" w:ascii="Times New Roman" w:hAnsi="Times New Roman" w:cs="Times New Roman"/>
        </w:rPr>
        <w:t>The experiment uses a public DVS gesture dataset from Zenodo. Four sessions from four different subjects were selected, producing 100 action segments from five classes: pinky, elle, yo, index, and thumb. Each action lasts approximately two seconds.</w:t>
      </w:r>
    </w:p>
    <w:p w14:paraId="2E8A30D1">
      <w:pPr>
        <w:bidi w:val="0"/>
        <w:rPr>
          <w:rFonts w:hint="default" w:ascii="Times New Roman" w:hAnsi="Times New Roman" w:cs="Times New Roman"/>
        </w:rPr>
      </w:pPr>
      <w:r>
        <w:rPr>
          <w:rFonts w:hint="default" w:ascii="Times New Roman" w:hAnsi="Times New Roman" w:cs="Times New Roman"/>
        </w:rPr>
        <w:t>During preprocessing, valid action intervals were extracted from the 200-Hz annotation sequence. Each action was then divided into eight temporal bins. ON and OFF events were counted separately in every bin. As a result, each action was represented as an 8×2×32×32 tensor. The eight steps represent time, the two channels represent the two event polarities, and the spatial resolution is 32 by 32.</w:t>
      </w:r>
    </w:p>
    <w:p w14:paraId="274816FA">
      <w:pPr>
        <w:bidi w:val="0"/>
        <w:rPr>
          <w:rFonts w:hint="default" w:ascii="Times New Roman" w:hAnsi="Times New Roman" w:cs="Times New Roman"/>
        </w:rPr>
      </w:pPr>
      <w:r>
        <w:rPr>
          <w:rFonts w:hint="default" w:ascii="Times New Roman" w:hAnsi="Times New Roman" w:cs="Times New Roman"/>
        </w:rPr>
        <w:t>The model is a lightweight convolutional spiking neural network. The first layer applies a convolution from two to sixteen channels with stride two, followed by Group Normalization and a LIF neuron. The LIF neuron accumulates membrane potential over time and generates a spike when the membrane potential exceeds the threshold.</w:t>
      </w:r>
    </w:p>
    <w:p w14:paraId="66E1B1DB">
      <w:pPr>
        <w:bidi w:val="0"/>
        <w:rPr>
          <w:rFonts w:hint="default" w:ascii="Times New Roman" w:hAnsi="Times New Roman" w:cs="Times New Roman"/>
        </w:rPr>
      </w:pPr>
      <w:r>
        <w:rPr>
          <w:rFonts w:hint="default" w:ascii="Times New Roman" w:hAnsi="Times New Roman" w:cs="Times New Roman"/>
        </w:rPr>
        <w:t>A learnable temporal channel soft gate is inserted after the first spiking layer. The gate uses the current event density and the previous channel-wise firing rates to generate continuous coefficients between zero and one. It functions like an automatically learned volume knob rather than a binary power switch. It can attenuate channel activity, but it does not yet physically skip convolution channels.</w:t>
      </w:r>
    </w:p>
    <w:p w14:paraId="0FA4D509">
      <w:pPr>
        <w:bidi w:val="0"/>
        <w:rPr>
          <w:rFonts w:hint="default" w:ascii="Times New Roman" w:hAnsi="Times New Roman" w:cs="Times New Roman"/>
        </w:rPr>
      </w:pPr>
      <w:r>
        <w:rPr>
          <w:rFonts w:hint="default" w:ascii="Times New Roman" w:hAnsi="Times New Roman" w:cs="Times New Roman"/>
        </w:rPr>
        <w:t>Two models are compared. The baseline uses gate coefficients fixed at one. The gated model uses the learnable soft gate. The data split contains 60 training samples, 15 validation samples, and 25 test samples. The test samples come from subject07, which is completely excluded from training and model selection.</w:t>
      </w:r>
    </w:p>
    <w:p w14:paraId="49D64DCE">
      <w:pPr>
        <w:bidi w:val="0"/>
        <w:rPr>
          <w:rFonts w:hint="default" w:ascii="Times New Roman" w:hAnsi="Times New Roman" w:cs="Times New Roman"/>
        </w:rPr>
      </w:pPr>
      <w:r>
        <w:rPr>
          <w:rFonts w:hint="default" w:ascii="Times New Roman" w:hAnsi="Times New Roman" w:cs="Times New Roman"/>
        </w:rPr>
        <w:t>The baseline achieves 32 percent test accuracy and a Macro-F1 score of 0.251. The gated model achieves 40 percent test accuracy and a Macro-F1 score of 0.367. This corresponds to an 8-percentage-point improvement in accuracy. The average spike rate is 0.1188 for the gated model and 0.1252 for the baseline, representing an approximate 5.1 percent relative reduction. This value is only a spike-activity proxy and should not be interpreted directly as hardware energy savings.</w:t>
      </w:r>
    </w:p>
    <w:p w14:paraId="78EA07CA">
      <w:pPr>
        <w:bidi w:val="0"/>
        <w:rPr>
          <w:rFonts w:hint="default" w:ascii="Times New Roman" w:hAnsi="Times New Roman" w:cs="Times New Roman"/>
        </w:rPr>
      </w:pPr>
      <w:r>
        <w:rPr>
          <w:rFonts w:hint="default" w:ascii="Times New Roman" w:hAnsi="Times New Roman" w:cs="Times New Roman"/>
        </w:rPr>
        <w:t>The confusion matrix shows that the gated model correctly classifies 10 out of 25 test samples. The elle class is recognized relatively well, while all five yo samples are misclassified, mainly as pinky or elle. This indicates that the main limitation is cross-subject generalization rather than a failure of the data or training pipeline.</w:t>
      </w:r>
    </w:p>
    <w:p w14:paraId="049F22CD">
      <w:pPr>
        <w:bidi w:val="0"/>
      </w:pPr>
      <w:r>
        <w:rPr>
          <w:rFonts w:hint="default" w:ascii="Times New Roman" w:hAnsi="Times New Roman" w:cs="Times New Roman"/>
        </w:rPr>
        <w:t>Overall, the smoke experiment verifies the complete workflow: data loading, event-frame generation, SNN forward propagation, surrogate-gradient training, soft gating, checkpoint saving, and independent-subject evaluation. The gated model shows a preliminary improvement in both accuracy and spike activity. However, 40 percent test accuracy is not sufficient to claim that the algorithm is already effective.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217646"/>
    <w:rsid w:val="7E5C6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1304</Words>
  <Characters>3877</Characters>
  <Lines>0</Lines>
  <Paragraphs>0</Paragraphs>
  <TotalTime>4</TotalTime>
  <ScaleCrop>false</ScaleCrop>
  <LinksUpToDate>false</LinksUpToDate>
  <CharactersWithSpaces>4406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2026-08-13T14:23:00Z</dcterms:created>
  <dc:creator>Lenovo</dc:creator>
  <cp:lastModifiedBy>朱振源</cp:lastModifiedBy>
  <dcterms:modified xsi:type="dcterms:W3CDTF">2026-08-14T00:25:05Z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eyJoZGlkIjoiZjQwYTFmYTZkNTFlYTgyYWU1MTc4YTdhMGZkMjQ5MDgiLCJ1c2VySWQiOiIxNzMxMDM3MTg4In0=</vt:lpwstr>
  </property>
  <property fmtid="{D5CDD505-2E9C-101B-9397-08002B2CF9AE}" pid="4" name="ICV">
    <vt:lpwstr>E1F4FAFFDCEF46A3A9A8057B3A9021F1_12</vt:lpwstr>
  </property>
</Properties>
</file>