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8CDDC">
      <w:pPr>
        <w:spacing w:after="100"/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46"/>
        </w:rPr>
        <w:t>基于事件相机的 SNN + 门控动作识别</w:t>
      </w:r>
    </w:p>
    <w:p w14:paraId="0B5490C6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1. 源数据与动作样本定义</w:t>
      </w:r>
    </w:p>
    <w:p w14:paraId="0016778A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1.1 事件相机源数据</w:t>
      </w:r>
    </w:p>
    <w:p w14:paraId="19FEBF07">
      <w:pPr>
        <w:spacing w:after="12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 w:val="22"/>
        </w:rPr>
        <w:t>事件相机不直接输出固定帧，而是在像素亮度发生变化时输出事件。第 n 个动作样本的原始事件集合写为</w:t>
      </w:r>
    </w:p>
    <w:p w14:paraId="22FA8D75">
      <w:pPr>
        <w:spacing w:before="80" w:after="120"/>
        <w:jc w:val="center"/>
        <w:rPr>
          <w:rFonts w:hint="default" w:eastAsia="微软雅黑"/>
          <w:color w:val="auto"/>
          <w:lang w:val="en-US" w:eastAsia="zh-CN"/>
        </w:rPr>
      </w:pPr>
      <w:r>
        <w:rPr>
          <w:rFonts w:ascii="Cambria Math" w:hAnsi="Cambria Math" w:eastAsia="Cambria Math"/>
          <w:color w:val="auto"/>
          <w:sz w:val="22"/>
        </w:rPr>
        <w:t>E⁽ⁿ⁾={eᵢ⁽ⁿ⁾}ᵢ₌₁ᴹⁿ,    eᵢ⁽ⁿ⁾=(xᵢ⁽ⁿ⁾, yᵢ⁽ⁿ⁾, tᵢ⁽ⁿ⁾, pᵢ⁽ⁿ⁾)</w:t>
      </w:r>
    </w:p>
    <w:p w14:paraId="20C9DA5C">
      <w:pPr>
        <w:spacing w:after="80"/>
        <w:ind w:left="360"/>
        <w:rPr>
          <w:color w:val="auto"/>
          <w:sz w:val="18"/>
          <w:szCs w:val="18"/>
        </w:rPr>
      </w:pPr>
      <w:r>
        <w:rPr>
          <w:rFonts w:ascii="Cambria Math" w:hAnsi="Cambria Math" w:eastAsia="微软雅黑"/>
          <w:b/>
          <w:color w:val="auto"/>
          <w:sz w:val="18"/>
          <w:szCs w:val="18"/>
        </w:rPr>
        <w:t>xᵢ,yᵢ</w:t>
      </w:r>
      <w:r>
        <w:rPr>
          <w:rFonts w:ascii="Calibri" w:hAnsi="Calibri" w:eastAsia="微软雅黑"/>
          <w:color w:val="auto"/>
          <w:sz w:val="18"/>
          <w:szCs w:val="18"/>
        </w:rPr>
        <w:t>：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事件发生的像素坐标；本数据传感器尺寸为</w:t>
      </w:r>
      <w:r>
        <w:rPr>
          <w:rFonts w:hint="default" w:ascii="Cambria Math" w:hAnsi="Cambria Math" w:eastAsia="黑体" w:cs="Cambria Math"/>
          <w:color w:val="auto"/>
          <w:sz w:val="18"/>
          <w:szCs w:val="18"/>
        </w:rPr>
        <w:t>W₀×H₀=128×128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。</w:t>
      </w:r>
    </w:p>
    <w:p w14:paraId="00BB814C">
      <w:pPr>
        <w:spacing w:after="80"/>
        <w:ind w:left="360"/>
        <w:rPr>
          <w:color w:val="auto"/>
          <w:sz w:val="18"/>
          <w:szCs w:val="18"/>
        </w:rPr>
      </w:pPr>
      <w:r>
        <w:rPr>
          <w:rFonts w:ascii="Cambria Math" w:hAnsi="Cambria Math" w:eastAsia="微软雅黑"/>
          <w:b/>
          <w:color w:val="auto"/>
          <w:sz w:val="18"/>
          <w:szCs w:val="18"/>
        </w:rPr>
        <w:t>tᵢ</w:t>
      </w:r>
      <w:r>
        <w:rPr>
          <w:rFonts w:ascii="Calibri" w:hAnsi="Calibri" w:eastAsia="微软雅黑"/>
          <w:color w:val="auto"/>
          <w:sz w:val="18"/>
          <w:szCs w:val="18"/>
        </w:rPr>
        <w:t>：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事件时间戳，单位为秒，并与标注时间轴同步。</w:t>
      </w:r>
    </w:p>
    <w:p w14:paraId="0377D7AE">
      <w:pPr>
        <w:spacing w:after="80"/>
        <w:ind w:left="360"/>
        <w:rPr>
          <w:rFonts w:hint="eastAsia" w:ascii="黑体" w:hAnsi="黑体" w:eastAsia="黑体" w:cs="黑体"/>
          <w:color w:val="auto"/>
          <w:sz w:val="18"/>
          <w:szCs w:val="18"/>
        </w:rPr>
      </w:pPr>
      <w:r>
        <w:rPr>
          <w:rFonts w:ascii="Cambria Math" w:hAnsi="Cambria Math" w:eastAsia="微软雅黑"/>
          <w:b/>
          <w:color w:val="auto"/>
          <w:sz w:val="18"/>
          <w:szCs w:val="18"/>
        </w:rPr>
        <w:t>pᵢ</w:t>
      </w:r>
      <w:r>
        <w:rPr>
          <w:rFonts w:ascii="Calibri" w:hAnsi="Calibri" w:eastAsia="微软雅黑"/>
          <w:color w:val="auto"/>
          <w:sz w:val="18"/>
          <w:szCs w:val="18"/>
        </w:rPr>
        <w:t>：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事件极性，</w:t>
      </w:r>
      <w:r>
        <w:rPr>
          <w:rFonts w:hint="default" w:ascii="Cambria Math" w:hAnsi="Cambria Math" w:eastAsia="黑体" w:cs="Cambria Math"/>
          <w:color w:val="auto"/>
          <w:sz w:val="18"/>
          <w:szCs w:val="18"/>
        </w:rPr>
        <w:t>pᵢ=1</w:t>
      </w:r>
      <w:r>
        <w:rPr>
          <w:rFonts w:hint="eastAsia" w:ascii="黑体" w:hAnsi="黑体" w:eastAsia="黑体" w:cs="黑体"/>
          <w:color w:val="auto"/>
          <w:sz w:val="18"/>
          <w:szCs w:val="18"/>
        </w:rPr>
        <w:t xml:space="preserve"> 表示亮度增加</w:t>
      </w:r>
      <w:r>
        <w:rPr>
          <w:rFonts w:hint="default" w:ascii="Cambria Math" w:hAnsi="Cambria Math" w:eastAsia="黑体" w:cs="Cambria Math"/>
          <w:color w:val="auto"/>
          <w:sz w:val="18"/>
          <w:szCs w:val="18"/>
        </w:rPr>
        <w:t>（ON）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，pᵢ=0 表示亮度减少</w:t>
      </w:r>
      <w:r>
        <w:rPr>
          <w:rFonts w:hint="default" w:ascii="Cambria Math" w:hAnsi="Cambria Math" w:eastAsia="黑体" w:cs="Cambria Math"/>
          <w:color w:val="auto"/>
          <w:sz w:val="18"/>
          <w:szCs w:val="18"/>
        </w:rPr>
        <w:t>（OFF）</w:t>
      </w:r>
      <w:r>
        <w:rPr>
          <w:rFonts w:hint="eastAsia" w:ascii="黑体" w:hAnsi="黑体" w:eastAsia="黑体" w:cs="黑体"/>
          <w:color w:val="auto"/>
          <w:sz w:val="18"/>
          <w:szCs w:val="18"/>
        </w:rPr>
        <w:t>。</w:t>
      </w:r>
    </w:p>
    <w:p w14:paraId="371B0CBC">
      <w:pPr>
        <w:spacing w:after="80"/>
        <w:ind w:left="360"/>
        <w:rPr>
          <w:color w:val="auto"/>
          <w:sz w:val="18"/>
          <w:szCs w:val="18"/>
        </w:rPr>
      </w:pPr>
      <w:r>
        <w:rPr>
          <w:rFonts w:ascii="Cambria Math" w:hAnsi="Cambria Math" w:eastAsia="微软雅黑"/>
          <w:b/>
          <w:color w:val="auto"/>
          <w:sz w:val="18"/>
          <w:szCs w:val="18"/>
        </w:rPr>
        <w:t>M⁽ⁿ⁾</w:t>
      </w:r>
      <w:r>
        <w:rPr>
          <w:rFonts w:ascii="Calibri" w:hAnsi="Calibri" w:eastAsia="微软雅黑"/>
          <w:color w:val="auto"/>
          <w:sz w:val="18"/>
          <w:szCs w:val="18"/>
        </w:rPr>
        <w:t>：</w:t>
      </w:r>
      <w:r>
        <w:rPr>
          <w:rFonts w:hint="eastAsia" w:ascii="黑体" w:hAnsi="黑体" w:eastAsia="黑体" w:cs="黑体"/>
          <w:color w:val="auto"/>
          <w:sz w:val="18"/>
          <w:szCs w:val="18"/>
        </w:rPr>
        <w:t xml:space="preserve">第 </w:t>
      </w:r>
      <w:r>
        <w:rPr>
          <w:rFonts w:hint="default" w:ascii="Cambria Math" w:hAnsi="Cambria Math" w:eastAsia="黑体" w:cs="Cambria Math"/>
          <w:color w:val="auto"/>
          <w:sz w:val="18"/>
          <w:szCs w:val="18"/>
        </w:rPr>
        <w:t>n</w:t>
      </w:r>
      <w:r>
        <w:rPr>
          <w:rFonts w:hint="eastAsia" w:ascii="黑体" w:hAnsi="黑体" w:eastAsia="黑体" w:cs="黑体"/>
          <w:color w:val="auto"/>
          <w:sz w:val="18"/>
          <w:szCs w:val="18"/>
        </w:rPr>
        <w:t xml:space="preserve"> 个样本包含的事件数量。</w:t>
      </w:r>
    </w:p>
    <w:p w14:paraId="5FE4703E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1.2 从标注序列提取动作区间</w:t>
      </w:r>
    </w:p>
    <w:p w14:paraId="231E8AF2">
      <w:pPr>
        <w:spacing w:after="120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 w:val="22"/>
        </w:rPr>
        <w:t>标注序列以固定采样频率</w:t>
      </w:r>
      <w:r>
        <w:rPr>
          <w:rFonts w:hint="default" w:ascii="Cambria Math" w:hAnsi="Cambria Math" w:eastAsia="黑体" w:cs="Cambria Math"/>
          <w:color w:val="auto"/>
          <w:sz w:val="22"/>
        </w:rPr>
        <w:t xml:space="preserve"> fₐ=200 Hz</w:t>
      </w:r>
      <w:r>
        <w:rPr>
          <w:rFonts w:hint="eastAsia" w:ascii="黑体" w:hAnsi="黑体" w:eastAsia="黑体" w:cs="黑体"/>
          <w:color w:val="auto"/>
          <w:sz w:val="22"/>
        </w:rPr>
        <w:t xml:space="preserve"> 给出。记第</w:t>
      </w:r>
      <w:r>
        <w:rPr>
          <w:rFonts w:hint="default" w:ascii="Cambria Math" w:hAnsi="Cambria Math" w:eastAsia="黑体" w:cs="Cambria Math"/>
          <w:color w:val="auto"/>
          <w:sz w:val="22"/>
        </w:rPr>
        <w:t xml:space="preserve"> k</w:t>
      </w:r>
      <w:r>
        <w:rPr>
          <w:rFonts w:hint="eastAsia" w:ascii="黑体" w:hAnsi="黑体" w:eastAsia="黑体" w:cs="黑体"/>
          <w:color w:val="auto"/>
          <w:sz w:val="22"/>
        </w:rPr>
        <w:t xml:space="preserve">个标注值为 </w:t>
      </w:r>
      <w:r>
        <w:rPr>
          <w:rFonts w:hint="eastAsia" w:ascii="Cambria Math" w:hAnsi="Cambria Math" w:eastAsia="黑体" w:cs="Cambria Math"/>
          <w:color w:val="auto"/>
          <w:sz w:val="22"/>
        </w:rPr>
        <w:t>a⁽ⁿ</w:t>
      </w:r>
      <w:r>
        <w:rPr>
          <w:rFonts w:hint="eastAsia" w:ascii="Cambria Math" w:hAnsi="Cambria Math" w:eastAsia="黑体" w:cs="Cambria Math"/>
          <w:color w:val="auto"/>
          <w:sz w:val="22"/>
          <w:lang w:val="en-US" w:eastAsia="zh-CN"/>
        </w:rPr>
        <w:t xml:space="preserve">    </w:t>
      </w:r>
      <w:r>
        <w:rPr>
          <w:rFonts w:hint="eastAsia" w:ascii="Cambria Math" w:hAnsi="Cambria Math" w:eastAsia="黑体" w:cs="Cambria Math"/>
          <w:color w:val="auto"/>
          <w:sz w:val="22"/>
        </w:rPr>
        <w:t>⁾[k]</w:t>
      </w:r>
      <w:r>
        <w:rPr>
          <w:rFonts w:hint="eastAsia" w:ascii="黑体" w:hAnsi="黑体" w:eastAsia="黑体" w:cs="黑体"/>
          <w:color w:val="auto"/>
          <w:sz w:val="22"/>
        </w:rPr>
        <w:t xml:space="preserve">，其中 </w:t>
      </w:r>
      <w:r>
        <w:rPr>
          <w:rFonts w:hint="eastAsia" w:ascii="Cambria Math" w:hAnsi="Cambria Math" w:eastAsia="黑体" w:cs="Cambria Math"/>
          <w:color w:val="auto"/>
          <w:sz w:val="22"/>
        </w:rPr>
        <w:t xml:space="preserve">none </w:t>
      </w:r>
      <w:r>
        <w:rPr>
          <w:rFonts w:hint="eastAsia" w:ascii="黑体" w:hAnsi="黑体" w:eastAsia="黑体" w:cs="黑体"/>
          <w:color w:val="auto"/>
          <w:sz w:val="22"/>
        </w:rPr>
        <w:t xml:space="preserve">表示非动作阶段，其余字符串对应动作类别。对任意非 </w:t>
      </w:r>
      <w:r>
        <w:rPr>
          <w:rFonts w:hint="eastAsia" w:ascii="Cambria Math" w:hAnsi="Cambria Math" w:eastAsia="黑体" w:cs="Cambria Math"/>
          <w:color w:val="auto"/>
          <w:sz w:val="22"/>
        </w:rPr>
        <w:t xml:space="preserve">none </w:t>
      </w:r>
      <w:r>
        <w:rPr>
          <w:rFonts w:hint="eastAsia" w:ascii="黑体" w:hAnsi="黑体" w:eastAsia="黑体" w:cs="黑体"/>
          <w:color w:val="auto"/>
          <w:sz w:val="22"/>
        </w:rPr>
        <w:t xml:space="preserve">的极大连续区间 </w:t>
      </w:r>
      <w:r>
        <w:rPr>
          <w:rFonts w:hint="eastAsia" w:ascii="Cambria Math" w:hAnsi="Cambria Math" w:eastAsia="黑体" w:cs="Cambria Math"/>
          <w:color w:val="auto"/>
          <w:sz w:val="22"/>
        </w:rPr>
        <w:t>[kₛ,kₑ)</w:t>
      </w:r>
      <w:r>
        <w:rPr>
          <w:rFonts w:hint="eastAsia" w:ascii="黑体" w:hAnsi="黑体" w:eastAsia="黑体" w:cs="黑体"/>
          <w:color w:val="auto"/>
          <w:sz w:val="22"/>
        </w:rPr>
        <w:t>，定义动作时间边界</w:t>
      </w:r>
    </w:p>
    <w:p w14:paraId="37FF65FC">
      <w:pPr>
        <w:spacing w:before="80" w:after="120"/>
        <w:jc w:val="center"/>
        <w:rPr>
          <w:rFonts w:ascii="Cambria Math" w:hAnsi="Cambria Math" w:eastAsia="Cambria Math"/>
          <w:color w:val="auto"/>
          <w:sz w:val="22"/>
        </w:rPr>
      </w:pPr>
      <w:r>
        <w:rPr>
          <w:rFonts w:ascii="Cambria Math" w:hAnsi="Cambria Math" w:eastAsia="Cambria Math"/>
          <w:color w:val="auto"/>
          <w:sz w:val="22"/>
        </w:rPr>
        <w:t xml:space="preserve">tₛ⁽ⁿ⁾=kₛ/fₐ,    </w:t>
      </w:r>
    </w:p>
    <w:p w14:paraId="53FEE8B3">
      <w:pPr>
        <w:spacing w:before="80" w:after="120"/>
        <w:jc w:val="center"/>
        <w:rPr>
          <w:rFonts w:ascii="Cambria Math" w:hAnsi="Cambria Math" w:eastAsia="Cambria Math"/>
          <w:color w:val="auto"/>
          <w:sz w:val="22"/>
        </w:rPr>
      </w:pPr>
      <w:r>
        <w:rPr>
          <w:rFonts w:ascii="Cambria Math" w:hAnsi="Cambria Math" w:eastAsia="Cambria Math"/>
          <w:color w:val="auto"/>
          <w:sz w:val="22"/>
        </w:rPr>
        <w:t xml:space="preserve">tₑ⁽ⁿ⁾=kₑ/fₐ,   </w:t>
      </w:r>
    </w:p>
    <w:p w14:paraId="50FCF9C4">
      <w:pPr>
        <w:spacing w:before="80" w:after="120"/>
        <w:jc w:val="center"/>
        <w:rPr>
          <w:color w:val="auto"/>
        </w:rPr>
      </w:pPr>
      <w:r>
        <w:rPr>
          <w:rFonts w:ascii="Cambria Math" w:hAnsi="Cambria Math" w:eastAsia="Cambria Math"/>
          <w:color w:val="auto"/>
          <w:sz w:val="22"/>
        </w:rPr>
        <w:t xml:space="preserve"> Δt⁽ⁿ⁾=tₑ⁽ⁿ⁾−tₛ⁽ⁿ⁾</w:t>
      </w:r>
      <w:r>
        <w:rPr>
          <w:rFonts w:ascii="Cambria Math" w:hAnsi="Cambria Math" w:eastAsia="微软雅黑"/>
          <w:color w:val="auto"/>
          <w:sz w:val="19"/>
        </w:rPr>
        <w:t xml:space="preserve">    </w:t>
      </w:r>
    </w:p>
    <w:p w14:paraId="026182E9">
      <w:pPr>
        <w:spacing w:after="120"/>
        <w:rPr>
          <w:color w:val="auto"/>
        </w:rPr>
      </w:pPr>
      <w:r>
        <w:rPr>
          <w:rFonts w:hint="eastAsia" w:ascii="黑体" w:hAnsi="黑体" w:eastAsia="黑体" w:cs="黑体"/>
          <w:color w:val="auto"/>
          <w:sz w:val="22"/>
        </w:rPr>
        <w:t>该动作区间内的事件集合为</w:t>
      </w:r>
    </w:p>
    <w:p w14:paraId="02518F6F">
      <w:pPr>
        <w:spacing w:before="80" w:after="120"/>
        <w:jc w:val="center"/>
        <w:rPr>
          <w:color w:val="auto"/>
        </w:rPr>
      </w:pPr>
      <w:r>
        <w:rPr>
          <w:rFonts w:ascii="Cambria Math" w:hAnsi="Cambria Math" w:eastAsia="Cambria Math"/>
          <w:color w:val="auto"/>
          <w:sz w:val="22"/>
        </w:rPr>
        <w:t>Eseg⁽ⁿ⁾={eᵢ⁽ⁿ⁾∈E⁽ⁿ⁾ | tₛ⁽ⁿ⁾≤tᵢ⁽ⁿ⁾&lt;tₑ⁽ⁿ⁾}</w:t>
      </w:r>
      <w:r>
        <w:rPr>
          <w:rFonts w:ascii="Cambria Math" w:hAnsi="Cambria Math" w:eastAsia="微软雅黑"/>
          <w:color w:val="auto"/>
          <w:sz w:val="19"/>
        </w:rPr>
        <w:t xml:space="preserve">  </w:t>
      </w:r>
    </w:p>
    <w:p w14:paraId="3BAA2616">
      <w:pPr>
        <w:bidi w:val="0"/>
      </w:pPr>
      <w:r>
        <w:t xml:space="preserve">如果区间对应的类别为 c⁽ⁿ⁾∈{0,1,…,C−1}，则监督标签为 y⁽ⁿ⁾=c⁽ⁿ⁾。本实验 C=5，类别顺序为 </w:t>
      </w:r>
      <w:r>
        <w:rPr>
          <w:rFonts w:hint="default"/>
        </w:rPr>
        <w:t>pinky、elle、yo、index、thumb</w:t>
      </w:r>
      <w:r>
        <w:t>。</w:t>
      </w:r>
    </w:p>
    <w:p w14:paraId="4557DA34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 从异步事件到双极性时间帧</w:t>
      </w:r>
    </w:p>
    <w:p w14:paraId="66444CA7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2.1 时间离散化</w:t>
      </w:r>
    </w:p>
    <w:p w14:paraId="28155A8B">
      <w:pPr>
        <w:bidi w:val="0"/>
      </w:pPr>
      <w:r>
        <w:t>将一个动作区间均分为 T 个时间步。本实验 T=8。对区间内事件 eᵢ，定义其时间帧索引</w:t>
      </w:r>
    </w:p>
    <w:p w14:paraId="4DFDB5CE">
      <w:pPr>
        <w:bidi w:val="0"/>
        <w:jc w:val="center"/>
      </w:pPr>
      <w:r>
        <w:t>τᵢ=clip(⌊T(tᵢ−tₛ)/Δt⌋, 0, T−1)</w:t>
      </w:r>
    </w:p>
    <w:p w14:paraId="1DA171D7">
      <w:pPr>
        <w:bidi w:val="0"/>
      </w:pPr>
      <w:r>
        <w:t>其中 clip 将结果限制在 [0,T−1]。因此，τᵢ=t 表示事件 eᵢ 被分配到第 t 个时间帧。</w:t>
      </w:r>
    </w:p>
    <w:p w14:paraId="44258900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2.2 空间采样与双极性通道</w:t>
      </w:r>
    </w:p>
    <w:p w14:paraId="5F6E3ABD">
      <w:pPr>
        <w:bidi w:val="0"/>
      </w:pPr>
      <w:r>
        <w:t>将原始 128×128 坐标映射到 H×W=32×32 网格：</w:t>
      </w:r>
    </w:p>
    <w:p w14:paraId="0F09739A">
      <w:pPr>
        <w:bidi w:val="0"/>
        <w:jc w:val="center"/>
      </w:pPr>
      <w:r>
        <w:t xml:space="preserve">uᵢ=⌊Wxᵢ/W₀⌋,  </w:t>
      </w:r>
    </w:p>
    <w:p w14:paraId="26710388">
      <w:pPr>
        <w:bidi w:val="0"/>
        <w:jc w:val="center"/>
      </w:pPr>
      <w:r>
        <w:t xml:space="preserve">  vᵢ=⌊Hyᵢ/H₀⌋,    </w:t>
      </w:r>
    </w:p>
    <w:p w14:paraId="56FA2D97">
      <w:pPr>
        <w:bidi w:val="0"/>
        <w:jc w:val="center"/>
      </w:pPr>
      <w:r>
        <w:t>(uᵢ,vᵢ)∈{0,…,31}²</w:t>
      </w:r>
    </w:p>
    <w:p w14:paraId="3F6F9CE9">
      <w:pPr>
        <w:bidi w:val="0"/>
      </w:pPr>
      <w:r>
        <w:t>对每个时间索引 t、极性 p、空间位置 (v,u)，统计事件数量，得到原始事件计数张量</w:t>
      </w:r>
    </w:p>
    <w:p w14:paraId="5F0C3778">
      <w:pPr>
        <w:bidi w:val="0"/>
        <w:jc w:val="center"/>
      </w:pPr>
      <w:r>
        <w:t>Bₜ,p,v,u=Σᵢ 𝟙[τᵢ=t]𝟙[pᵢ=p]𝟙[vᵢ=v]𝟙[uᵢ=u]</w:t>
      </w:r>
    </w:p>
    <w:p w14:paraId="2CED2659">
      <w:pPr>
        <w:bidi w:val="0"/>
      </w:pPr>
      <w:r>
        <w:t>由于 p 只有 0 和 1，B 的第二维保留了两个方向相反的变化通道。最终输入不是 RGB 图像，而是</w:t>
      </w:r>
    </w:p>
    <w:p w14:paraId="4077E240">
      <w:pPr>
        <w:bidi w:val="0"/>
        <w:jc w:val="center"/>
      </w:pPr>
      <w:r>
        <w:t>B∈ℝᵀˣ²ˣᴴˣᵂ=ℝ⁸ˣ²ˣ³²ˣ³²</w:t>
      </w:r>
    </w:p>
    <w:p w14:paraId="4C395F3B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2.3 事件强度归一化</w:t>
      </w:r>
    </w:p>
    <w:p w14:paraId="47AFFF56">
      <w:pPr>
        <w:bidi w:val="0"/>
      </w:pPr>
      <w:r>
        <w:t>为了抑制单个像素事件数量过大造成的数值支配，对每个动作样本执行对数压缩与最大值归一化：</w:t>
      </w:r>
    </w:p>
    <w:p w14:paraId="0CC5BED0">
      <w:pPr>
        <w:bidi w:val="0"/>
        <w:jc w:val="center"/>
      </w:pPr>
      <w:r>
        <w:t>Xₜ,p,v,u=log(1+Bₜ,p,v,u) / maxₜ,p,v,u log(1+Bₜ,p,v,u)</w:t>
      </w:r>
    </w:p>
    <w:p w14:paraId="35FD9C7C">
      <w:pPr>
        <w:bidi w:val="0"/>
      </w:pPr>
      <w:r>
        <w:t>因此 X∈[0,1]ᵀˣ²ˣᴴˣᵂ，并以 Xₜ∈ℝ²ˣ³²ˣ³² 作为 SNN 在时间 t 的输入。</w:t>
      </w:r>
    </w:p>
    <w:p w14:paraId="2618C51F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3. 卷积电流与 LIF 脉冲状态</w:t>
      </w:r>
      <w:bookmarkStart w:id="0" w:name="_GoBack"/>
      <w:bookmarkEnd w:id="0"/>
    </w:p>
    <w:p w14:paraId="30F96612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3.1 第一层卷积电流</w:t>
      </w:r>
    </w:p>
    <w:p w14:paraId="076CCD37">
      <w:pPr>
        <w:bidi w:val="0"/>
      </w:pPr>
      <w:r>
        <w:t>第一层卷积将双极性输入通道数从 2 映射为 16。令 K¹、b¹ 为卷积核与偏置，s=2 为步幅，则卷积输出为</w:t>
      </w:r>
    </w:p>
    <w:p w14:paraId="1E40158D">
      <w:pPr>
        <w:bidi w:val="0"/>
        <w:jc w:val="center"/>
      </w:pPr>
      <w:r>
        <w:t xml:space="preserve">Aₜ¹=Conv₂→₁₆(Xₜ;K¹,b¹,s=2)   </w:t>
      </w:r>
    </w:p>
    <w:p w14:paraId="6A931D47">
      <w:pPr>
        <w:bidi w:val="0"/>
      </w:pPr>
      <w:r>
        <w:t>随后进行组归一化。</w:t>
      </w:r>
    </w:p>
    <w:p w14:paraId="6ADA3882">
      <w:pPr>
        <w:bidi w:val="0"/>
      </w:pPr>
      <w:r>
        <w:t>GN 将 16 个通道划分为 G=4 组，每组 4 个通道。对第 g 组特征集合 Ωg，</w:t>
      </w:r>
    </w:p>
    <w:p w14:paraId="64972FA0">
      <w:pPr>
        <w:bidi w:val="0"/>
        <w:jc w:val="center"/>
      </w:pPr>
      <w:r>
        <w:t>μg=(1/|Ωg|)Σⱼ∈Ωg Aₜ,j¹,    σg²=(1/|Ωg|)Σⱼ∈Ωg(Aₜ,j¹−μg)²</w:t>
      </w:r>
    </w:p>
    <w:p w14:paraId="37E3FEE0">
      <w:pPr>
        <w:bidi w:val="0"/>
        <w:jc w:val="center"/>
      </w:pPr>
      <w:r>
        <w:t>Iₜ,j¹=γj(Aₜ,j¹−μg)/√(σg²+ε)+βj,    j∈Ωg</w:t>
      </w:r>
    </w:p>
    <w:p w14:paraId="7AD25D63">
      <w:pPr>
        <w:bidi w:val="0"/>
      </w:pPr>
      <w:r>
        <w:t>GN 的输出 Iₜ¹ 是 LIF 神经元接收的电流；GN 本身不产生脉冲。</w:t>
      </w:r>
    </w:p>
    <w:p w14:paraId="71E0E182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3.2 LIF 递推与脉冲发放</w:t>
      </w:r>
    </w:p>
    <w:p w14:paraId="5C6ED062">
      <w:pPr>
        <w:bidi w:val="0"/>
      </w:pPr>
      <w:r>
        <w:t>对第 l 层，令 Uₜˡ 为膜电位，Iₜˡ 为输入电流，β=0.9 为泄漏系数，Vth=1 为阈值。</w:t>
      </w:r>
    </w:p>
    <w:p w14:paraId="32D5F878">
      <w:pPr>
        <w:bidi w:val="0"/>
      </w:pPr>
      <w:r>
        <w:t>膜电位首先积分：</w:t>
      </w:r>
    </w:p>
    <w:p w14:paraId="726BB1BF">
      <w:pPr>
        <w:bidi w:val="0"/>
        <w:jc w:val="center"/>
      </w:pPr>
      <w:r>
        <w:t>Uₜˡ=βUₜ₋₁ˡ+Iₜˡ</w:t>
      </w:r>
    </w:p>
    <w:p w14:paraId="42DA6FA6">
      <w:pPr>
        <w:bidi w:val="0"/>
      </w:pPr>
      <w:r>
        <w:t>阶跃发放函数将膜电位转换为脉冲：</w:t>
      </w:r>
    </w:p>
    <w:p w14:paraId="399935F8">
      <w:pPr>
        <w:spacing w:before="80" w:after="120"/>
        <w:jc w:val="center"/>
        <w:rPr>
          <w:color w:val="auto"/>
        </w:rPr>
      </w:pPr>
      <w:r>
        <w:rPr>
          <w:rFonts w:ascii="Cambria Math" w:hAnsi="Cambria Math" w:eastAsia="Cambria Math"/>
          <w:color w:val="auto"/>
          <w:sz w:val="22"/>
        </w:rPr>
        <w:t>Sₜˡ=H(Uₜˡ−Vth),    H(q)={1, q≥0; 0, q&lt;0}</w:t>
      </w:r>
      <w:r>
        <w:rPr>
          <w:rFonts w:ascii="Cambria Math" w:hAnsi="Cambria Math" w:eastAsia="微软雅黑"/>
          <w:color w:val="auto"/>
          <w:sz w:val="19"/>
        </w:rPr>
        <w:t xml:space="preserve"> </w:t>
      </w:r>
    </w:p>
    <w:p w14:paraId="3E917742">
      <w:pPr>
        <w:bidi w:val="0"/>
      </w:pPr>
      <w:r>
        <w:t>发放后执行软复位，使下一时刻保留未超过阈值的膜电位：</w:t>
      </w:r>
    </w:p>
    <w:p w14:paraId="5F4E9121">
      <w:pPr>
        <w:bidi w:val="0"/>
        <w:jc w:val="center"/>
      </w:pPr>
      <w:r>
        <w:t>Uₜˡ←Uₜˡ(1−stopgrad(Sₜˡ))</w:t>
      </w:r>
    </w:p>
    <w:p w14:paraId="16973457">
      <w:pPr>
        <w:bidi w:val="0"/>
        <w:rPr>
          <w:color w:val="auto"/>
        </w:rPr>
      </w:pPr>
      <w:r>
        <w:t>每个样本开始时 U₀ˡ=0；同一段动作的 8 个时间步共享卷积权重，但不共享膜电位。</w:t>
      </w:r>
    </w:p>
    <w:p w14:paraId="0729E851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3.3 替代梯度训练</w:t>
      </w:r>
    </w:p>
    <w:p w14:paraId="65C7C6A5">
      <w:pPr>
        <w:bidi w:val="0"/>
      </w:pPr>
      <w:r>
        <w:t>由于 H 不可导，前向仍使用</w:t>
      </w:r>
      <w:r>
        <w:rPr>
          <w:rFonts w:hint="eastAsia"/>
          <w:lang w:val="en-US" w:eastAsia="zh-CN"/>
        </w:rPr>
        <w:t>前</w:t>
      </w:r>
      <w:r>
        <w:t>式的二值脉冲，反向传播用 fast-sigmoid 替代导数：</w:t>
      </w:r>
    </w:p>
    <w:p w14:paraId="3AC6BA29">
      <w:pPr>
        <w:bidi w:val="0"/>
        <w:jc w:val="center"/>
      </w:pPr>
      <w:r>
        <w:t>∂H(q)/∂q ≈ α/(1+α|q|)²,    α=2</w:t>
      </w:r>
    </w:p>
    <w:p w14:paraId="1941C22B">
      <w:pPr>
        <w:bidi w:val="0"/>
        <w:rPr>
          <w:color w:val="auto"/>
        </w:rPr>
      </w:pPr>
      <w:r>
        <w:t>因此分类损失可以通过时间递推链条传回卷积参数、GN 参数和门控参数。</w:t>
      </w:r>
    </w:p>
    <w:p w14:paraId="7831632F">
      <w:pPr>
        <w:rPr>
          <w:color w:val="auto"/>
        </w:rPr>
      </w:pPr>
    </w:p>
    <w:p w14:paraId="4C13172E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 可学习软门的数学定义</w:t>
      </w:r>
    </w:p>
    <w:p w14:paraId="714B9E3F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4.1 门控输入</w:t>
      </w:r>
    </w:p>
    <w:p w14:paraId="30A94397">
      <w:pPr>
        <w:bidi w:val="0"/>
      </w:pPr>
      <w:r>
        <w:t>门控器在第一层 LIF 产生 Sₜ¹ 后工作。当前事件帧的全局事件密度定义为</w:t>
      </w:r>
    </w:p>
    <w:p w14:paraId="1AED577F">
      <w:pPr>
        <w:bidi w:val="0"/>
        <w:jc w:val="center"/>
      </w:pPr>
      <w:r>
        <w:t>rₜ=(1/(2HW))Σₚ,v,u Xₜ,p,v,u</w:t>
      </w:r>
    </w:p>
    <w:p w14:paraId="76768CE9">
      <w:pPr>
        <w:bidi w:val="0"/>
      </w:pPr>
      <w:r>
        <w:t>上一时刻第一层每个通道的平均脉冲率定义为</w:t>
      </w:r>
    </w:p>
    <w:p w14:paraId="26C1AFD4">
      <w:pPr>
        <w:bidi w:val="0"/>
        <w:jc w:val="center"/>
      </w:pPr>
      <w:r>
        <w:t>qₜ₋₁,c=(1/(H₁W₁))Σᵥ,ᵤ Sₜ₋₁,c,v,u¹,    c=1,…,16</w:t>
      </w:r>
    </w:p>
    <w:p w14:paraId="17FA417F">
      <w:pPr>
        <w:bidi w:val="0"/>
      </w:pPr>
      <w:r>
        <w:t>当 t=1 时没有上一时刻脉冲，取 q₀,c=0。门控器输入向量为</w:t>
      </w:r>
    </w:p>
    <w:p w14:paraId="69238503">
      <w:pPr>
        <w:bidi w:val="0"/>
        <w:jc w:val="center"/>
      </w:pPr>
      <w:r>
        <w:t>hₜᵍ=[rₜ;qₜ₋₁]∈ℝ¹⁷</w:t>
      </w:r>
    </w:p>
    <w:p w14:paraId="427D69FE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 软门生成与作用位置</w:t>
      </w:r>
    </w:p>
    <w:p w14:paraId="083A9BC5">
      <w:pPr>
        <w:bidi w:val="0"/>
      </w:pPr>
      <w:r>
        <w:t>Wg∈ℝ¹⁶ˣ¹⁷ 和 bg∈ℝ¹⁶ 是可学习参数。sigmoid 将每个通道的门限制在 0 与 1 之间：</w:t>
      </w:r>
    </w:p>
    <w:p w14:paraId="7963442F">
      <w:pPr>
        <w:bidi w:val="0"/>
        <w:jc w:val="center"/>
      </w:pPr>
      <w:r>
        <w:t xml:space="preserve">gₜ=σ(Wg hₜᵍ+bg),    σ(a)=1/(1+e⁻ᵃ),    gₜ∈(0,1)¹⁶   </w:t>
      </w:r>
    </w:p>
    <w:p w14:paraId="1CC1C9AE">
      <w:pPr>
        <w:bidi w:val="0"/>
        <w:jc w:val="both"/>
      </w:pPr>
      <w:r>
        <w:t>门控后的第一层脉冲为逐通道乘法：</w:t>
      </w:r>
    </w:p>
    <w:p w14:paraId="39C9A647">
      <w:pPr>
        <w:bidi w:val="0"/>
        <w:jc w:val="center"/>
      </w:pPr>
      <w:r>
        <w:t>S̃ₜ,c,v,u¹=gₜ,c Sₜ,c,v,u¹</w:t>
      </w:r>
    </w:p>
    <w:p w14:paraId="7D9476EE">
      <w:pPr>
        <w:bidi w:val="0"/>
      </w:pPr>
      <w:r>
        <w:t>这就是可学习软门：gₜ,c 是连续系数，不是二值开关。其参数 Wg、bg 通过最终分类损失自动更新。baseline 对应 gₜ,c≡1。</w:t>
      </w:r>
    </w:p>
    <w:p w14:paraId="1DA4DEC0">
      <w:pPr>
        <w:bidi w:val="0"/>
      </w:pPr>
      <w:r>
        <w:t>本实验将门使用成本写成门均值正则项。该项会鼓励门值变小，但不会自动把门变成 0/1。</w:t>
      </w:r>
    </w:p>
    <w:p w14:paraId="1517ECA4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5. 后续 SNN 层与时间聚合</w:t>
      </w:r>
    </w:p>
    <w:p w14:paraId="39EAA48E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5.1 第二、三层递推</w:t>
      </w:r>
    </w:p>
    <w:p w14:paraId="373A42AD">
      <w:pPr>
        <w:bidi w:val="0"/>
      </w:pPr>
      <w:r>
        <w:t>门控后的第一层脉冲经过第二层和第三层卷积、GN、LIF。令 K²、K³ 分别为对应卷积参数：</w:t>
      </w:r>
    </w:p>
    <w:p w14:paraId="4548CF17">
      <w:pPr>
        <w:bidi w:val="0"/>
        <w:jc w:val="center"/>
      </w:pPr>
      <w:r>
        <w:t>Iₜ²=GN(Conv₁₆→₂₄(S̃ₜ¹;K²,s=2)),    Sₜ²=LIF(Iₜ²,Uₜ₋₁²)</w:t>
      </w:r>
    </w:p>
    <w:p w14:paraId="373EE63C">
      <w:pPr>
        <w:bidi w:val="0"/>
        <w:jc w:val="center"/>
      </w:pPr>
      <w:r>
        <w:t>Iₜ³=GN(Conv₂₄→₃₂(Sₜ²;K³,s=2)),    Sₜ³=LIF(Iₜ³,Uₜ₋₁³)</w:t>
      </w:r>
    </w:p>
    <w:p w14:paraId="392F48F6">
      <w:pPr>
        <w:bidi w:val="0"/>
      </w:pPr>
      <w:r>
        <w:t>因此每个时间步的特征尺寸依次为 16×16×16、24×8×8、32×4×4。</w:t>
      </w:r>
    </w:p>
    <w:p w14:paraId="76439AB1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5.2 时间步 logits 与样本概率</w:t>
      </w:r>
    </w:p>
    <w:p w14:paraId="2EED5961">
      <w:pPr>
        <w:bidi w:val="0"/>
      </w:pPr>
      <w:r>
        <w:t>对第三层脉冲做全局平均池化，得到 32 维向量：</w:t>
      </w:r>
    </w:p>
    <w:p w14:paraId="73F0943C">
      <w:pPr>
        <w:bidi w:val="0"/>
        <w:jc w:val="center"/>
      </w:pPr>
      <w:r>
        <w:t>hₜ=(1/(4×4))Σᵥ,ᵤ Sₜ,v,u³∈ℝ³²</w:t>
      </w:r>
    </w:p>
    <w:p w14:paraId="726C8DD2">
      <w:pPr>
        <w:bidi w:val="0"/>
      </w:pPr>
      <w:r>
        <w:t>分类器参数为 Wc∈ℝᶜˣ³²、bc∈ℝᶜ，生成第 t 个时间步的 logits：</w:t>
      </w:r>
    </w:p>
    <w:p w14:paraId="5F6450FE">
      <w:pPr>
        <w:bidi w:val="0"/>
        <w:jc w:val="center"/>
      </w:pPr>
      <w:r>
        <w:t>zₜ=Wc hₜ+bc∈ℝᶜ</w:t>
      </w:r>
    </w:p>
    <w:p w14:paraId="5DC4AD8B">
      <w:pPr>
        <w:bidi w:val="0"/>
      </w:pPr>
      <w:r>
        <w:t>将 8 个时间步的 logits 做平均，得到一个动作样本的最终 logits：</w:t>
      </w:r>
    </w:p>
    <w:p w14:paraId="75878971">
      <w:pPr>
        <w:bidi w:val="0"/>
        <w:jc w:val="center"/>
      </w:pPr>
      <w:r>
        <w:t>z=(1/T)Σₜ₌₁ᵀ zₜ</w:t>
      </w:r>
    </w:p>
    <w:p w14:paraId="285CA608">
      <w:pPr>
        <w:bidi w:val="0"/>
      </w:pPr>
      <w:r>
        <w:t>softmax 将 logits 转换为 5 类概率：</w:t>
      </w:r>
    </w:p>
    <w:p w14:paraId="71B6BA85">
      <w:pPr>
        <w:bidi w:val="0"/>
        <w:jc w:val="center"/>
      </w:pPr>
      <w:r>
        <w:t>P(y=c|Eseg)=exp(zc)/Σⱼ₌₀ᶜ⁻¹ exp(zⱼ)</w:t>
      </w:r>
    </w:p>
    <w:p w14:paraId="5B8DB973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 从概率到动作识别结果</w:t>
      </w:r>
    </w:p>
    <w:p w14:paraId="06B3C3A5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6.1 最终判决</w:t>
      </w:r>
    </w:p>
    <w:p w14:paraId="27FCA471">
      <w:pPr>
        <w:bidi w:val="0"/>
      </w:pPr>
      <w:r>
        <w:t>动作识别结果取最大后验概率对应的类别：</w:t>
      </w:r>
    </w:p>
    <w:p w14:paraId="6740F0D5">
      <w:pPr>
        <w:bidi w:val="0"/>
        <w:jc w:val="center"/>
      </w:pPr>
      <w:r>
        <w:t>ŷ=argmaxc P(y=c|Eseg)=argmaxc zc</w:t>
      </w:r>
    </w:p>
    <w:p w14:paraId="6485313C">
      <w:pPr>
        <w:bidi w:val="0"/>
      </w:pPr>
      <w:r>
        <w:t>若类别索引映射为 0:pinky、1:elle、2:yo、3:index、4:thumb，则 ŷ=2 表示输出动作类别 yo。</w:t>
      </w:r>
    </w:p>
    <w:p w14:paraId="5E9DA849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6.2 单样本的完整函数映射</w:t>
      </w:r>
    </w:p>
    <w:p w14:paraId="0ABFB10D">
      <w:pPr>
        <w:bidi w:val="0"/>
      </w:pPr>
      <w:r>
        <w:t>把前面的步骤合并，整个模型可以写成从原始事件集合到动作标签的复合函数：</w:t>
      </w:r>
    </w:p>
    <w:p w14:paraId="0D7DC2D0">
      <w:pPr>
        <w:bidi w:val="0"/>
        <w:jc w:val="center"/>
      </w:pPr>
      <w:r>
        <w:t>ŷ=Fθ(Eseg)=argmaxc softmaxc( (1/T)Σₜ Wc GAP( Sₜ³ )+bc )</w:t>
      </w:r>
    </w:p>
    <w:p w14:paraId="7FF8553B">
      <w:pPr>
        <w:bidi w:val="0"/>
      </w:pPr>
      <w:r>
        <w:t>其中 Sₜ³ 不是独立计算的静态特征，而是由膜电位递推和软门共同决定。因此 Fθ 同时依赖空间事件分布、事件极性、事件时间顺序和膜电位历史。</w:t>
      </w:r>
    </w:p>
    <w:p w14:paraId="566CCD2E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6.3 批量训练目标</w:t>
      </w:r>
    </w:p>
    <w:p w14:paraId="3D0C8FBC">
      <w:pPr>
        <w:bidi w:val="0"/>
      </w:pPr>
      <w:r>
        <w:t>对一个 batch 的 B 个动作样本，分类交叉熵为</w:t>
      </w:r>
    </w:p>
    <w:p w14:paraId="52B72DF5">
      <w:pPr>
        <w:bidi w:val="0"/>
        <w:jc w:val="center"/>
      </w:pPr>
      <w:r>
        <w:t>Lcls(θ)=−(1/B)Σₙ₌₁ᴮ log Pθ(y⁽ⁿ⁾|Eseg⁽ⁿ⁾)</w:t>
      </w:r>
    </w:p>
    <w:p w14:paraId="0279C3CD">
      <w:pPr>
        <w:bidi w:val="0"/>
      </w:pPr>
      <w:r>
        <w:t>门控正则项为所有样本、时间步和通道的门均值：</w:t>
      </w:r>
    </w:p>
    <w:p w14:paraId="60C68C0D">
      <w:pPr>
        <w:bidi w:val="0"/>
        <w:jc w:val="center"/>
      </w:pPr>
      <w:r>
        <w:t>Lgate(θ)=(1/(BT×16))Σₙ,ₜ,c gₜ,c⁽ⁿ⁾</w:t>
      </w:r>
    </w:p>
    <w:p w14:paraId="4ADEEBDE">
      <w:pPr>
        <w:bidi w:val="0"/>
      </w:pPr>
      <w:r>
        <w:t>最终优化目标为</w:t>
      </w:r>
    </w:p>
    <w:p w14:paraId="6282560D">
      <w:pPr>
        <w:bidi w:val="0"/>
        <w:jc w:val="center"/>
      </w:pPr>
      <w:r>
        <w:t>L(θ)=Lcls(θ)+λg Lgate(θ),    λg=0.001</w:t>
      </w:r>
    </w:p>
    <w:p w14:paraId="246A2451">
      <w:pPr>
        <w:bidi w:val="0"/>
      </w:pPr>
      <w:r>
        <w:t>参数通过替代梯度反向传播和 AdamW 更新：</w:t>
      </w:r>
    </w:p>
    <w:p w14:paraId="5989EBDC">
      <w:pPr>
        <w:bidi w:val="0"/>
        <w:jc w:val="center"/>
      </w:pPr>
      <w:r>
        <w:t>θᵏ⁺¹=AdamW(θᵏ, ∇θL(θᵏ))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94A07"/>
    <w:rsid w:val="42C242A5"/>
    <w:rsid w:val="55F35293"/>
    <w:rsid w:val="648A1AD5"/>
    <w:rsid w:val="6F3E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mbria Math" w:hAnsi="Cambria Math" w:eastAsia="黑体" w:cstheme="minorBidi"/>
      <w:color w:val="1720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1621</Words>
  <Characters>2967</Characters>
  <Lines>0</Lines>
  <Paragraphs>0</Paragraphs>
  <TotalTime>2</TotalTime>
  <ScaleCrop>false</ScaleCrop>
  <LinksUpToDate>false</LinksUpToDate>
  <CharactersWithSpaces>3259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Action-Recognition smoke</dc:creator>
  <dc:description>Pure mathematical derivation; rebuilt on 2026-08-13.</dc:description>
  <cp:lastModifiedBy>Lenovo</cp:lastModifiedBy>
  <dcterms:modified xsi:type="dcterms:W3CDTF">2026-08-13T14:14:20Z</dcterms:modified>
  <dc:subject>从源事件数据到动作类别输出的数学推导</dc:subject>
  <dc:title>基于事件相机的SNN+门控动作识别数学建模闭环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eyJoZGlkIjoiZjQwYTFmYTZkNTFlYTgyYWU1MTc4YTdhMGZkMjQ5MDgiLCJ1c2VySWQiOiIxNzMxMDM3MTg4In0=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753892DD9AC44804980C7B44C39F41F6_12</vt:lpwstr>
  </property>
</Properties>
</file>