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7AA6" w:rsidRDefault="00304F32" w:rsidP="00304F32">
      <w:pPr>
        <w:pStyle w:val="Titel"/>
      </w:pPr>
      <w:r>
        <w:t>Grundarchitektur DiversityMobile für WindowsPhone</w:t>
      </w:r>
    </w:p>
    <w:p w:rsidR="00304F32" w:rsidRDefault="00304F32" w:rsidP="00304F32"/>
    <w:p w:rsidR="00304F32" w:rsidRDefault="00304F32" w:rsidP="00304F32">
      <w:r>
        <w:t xml:space="preserve">DiversityMobile für WindowsPhone ist der mobile Client für die Arbeit mit DiversityCollection aus der </w:t>
      </w:r>
      <w:proofErr w:type="spellStart"/>
      <w:r>
        <w:t>Diversity</w:t>
      </w:r>
      <w:proofErr w:type="spellEnd"/>
      <w:r>
        <w:t xml:space="preserve"> </w:t>
      </w:r>
      <w:proofErr w:type="spellStart"/>
      <w:r>
        <w:t>Workbench</w:t>
      </w:r>
      <w:proofErr w:type="spellEnd"/>
      <w:r>
        <w:t xml:space="preserve"> (</w:t>
      </w:r>
      <w:hyperlink r:id="rId5" w:history="1">
        <w:r w:rsidRPr="007B111D">
          <w:rPr>
            <w:rStyle w:val="Hyperlink"/>
          </w:rPr>
          <w:t>www.diversityworkb</w:t>
        </w:r>
        <w:r w:rsidRPr="007B111D">
          <w:rPr>
            <w:rStyle w:val="Hyperlink"/>
          </w:rPr>
          <w:t>e</w:t>
        </w:r>
        <w:r w:rsidRPr="007B111D">
          <w:rPr>
            <w:rStyle w:val="Hyperlink"/>
          </w:rPr>
          <w:t>nch.net</w:t>
        </w:r>
      </w:hyperlink>
      <w:r>
        <w:t xml:space="preserve"> ). DiversityMobile erlaubt als Teil der </w:t>
      </w:r>
      <w:proofErr w:type="spellStart"/>
      <w:r>
        <w:t>Diversity</w:t>
      </w:r>
      <w:proofErr w:type="spellEnd"/>
      <w:r>
        <w:t xml:space="preserve"> </w:t>
      </w:r>
      <w:proofErr w:type="spellStart"/>
      <w:r>
        <w:t>Workbench</w:t>
      </w:r>
      <w:proofErr w:type="spellEnd"/>
      <w:r>
        <w:t xml:space="preserve"> die mobile Felddatenerfassung mit Georeferenzierung und Aufnahme von Multimediadaten wie Fotos, Videos und Audiokommentaren. Bei der Felddatenerfassung wird ein </w:t>
      </w:r>
      <w:proofErr w:type="spellStart"/>
      <w:r>
        <w:t>verschlagwortetes</w:t>
      </w:r>
      <w:proofErr w:type="spellEnd"/>
      <w:r>
        <w:t xml:space="preserve"> Vokabular aus der </w:t>
      </w:r>
      <w:proofErr w:type="spellStart"/>
      <w:r>
        <w:t>Diversity</w:t>
      </w:r>
      <w:proofErr w:type="spellEnd"/>
      <w:r>
        <w:t xml:space="preserve"> </w:t>
      </w:r>
      <w:proofErr w:type="spellStart"/>
      <w:r>
        <w:t>Workbench</w:t>
      </w:r>
      <w:proofErr w:type="spellEnd"/>
      <w:r>
        <w:t xml:space="preserve"> verwendet. Die Felddaten werden aber lokal zwischengespeichert, so dass im Feld keine Onlineverbindung benötigt wird. Dementsprechend ist eine regelmäßige Kommunikation des mobilen Clients mit der zentralen Datenbank am SNSB notwendig.</w:t>
      </w:r>
    </w:p>
    <w:p w:rsidR="00304F32" w:rsidRDefault="00304F32" w:rsidP="00304F32">
      <w:pPr>
        <w:pStyle w:val="berschrift1"/>
      </w:pPr>
      <w:r>
        <w:t>Kommunikation</w:t>
      </w:r>
      <w:r w:rsidR="00E50EC8">
        <w:t xml:space="preserve"> mit dem Repository</w:t>
      </w:r>
    </w:p>
    <w:p w:rsidR="00304F32" w:rsidRDefault="00304F32" w:rsidP="00304F32">
      <w:r>
        <w:t>Die Architektur der Kommunikation gliedert sich in drei Komponenten:</w:t>
      </w:r>
    </w:p>
    <w:p w:rsidR="00304F32" w:rsidRDefault="00304F32" w:rsidP="00304F32">
      <w:pPr>
        <w:pStyle w:val="Listenabsatz"/>
        <w:numPr>
          <w:ilvl w:val="0"/>
          <w:numId w:val="1"/>
        </w:numPr>
      </w:pPr>
      <w:r>
        <w:t>Datenbank am Repository</w:t>
      </w:r>
    </w:p>
    <w:p w:rsidR="00304F32" w:rsidRDefault="00304F32" w:rsidP="00304F32">
      <w:pPr>
        <w:pStyle w:val="Listenabsatz"/>
        <w:numPr>
          <w:ilvl w:val="0"/>
          <w:numId w:val="1"/>
        </w:numPr>
      </w:pPr>
      <w:r>
        <w:t>Datenbank des mobilen Clients</w:t>
      </w:r>
    </w:p>
    <w:p w:rsidR="00304F32" w:rsidRDefault="00304F32" w:rsidP="00304F32">
      <w:pPr>
        <w:pStyle w:val="Listenabsatz"/>
        <w:numPr>
          <w:ilvl w:val="0"/>
          <w:numId w:val="1"/>
        </w:numPr>
      </w:pPr>
      <w:r>
        <w:t>Webservice zum Austausch der Daten</w:t>
      </w:r>
    </w:p>
    <w:p w:rsidR="00304F32" w:rsidRDefault="00304F32" w:rsidP="00304F32">
      <w:r>
        <w:t>Das Repository am SNSB ist eine MSSQL-Server Datenbank, welche die Daten zur Bearbeitung der Desktopanwendung DiversityCollection enthält. Für den mobilen Client wird die Teilmenge der Datenbank verwendet, die für die mobile Felddatenerfassung benötigt wird und an die Umgebung für die Verwendung in einem Handy angepasst. Da DiversityCollection weitere Aufgaben wie die Verwaltung von Sammlungen hat</w:t>
      </w:r>
      <w:r w:rsidR="00EB6AC7">
        <w:t xml:space="preserve">, die im Feld nicht benötigt werden, verfügt die Datenbank im mobilen Client nur über einen Teil der Tabellen aus dem Repository. Darüber hinaus wird die Datenstruktur zur Verwendung im mobilen Gerät optimiert, so dass verwendete Tabellen anders aufgebaut sein können. Einen Überblick über diese Anpassungen findet sich im Dokument: -&gt; </w:t>
      </w:r>
      <w:r w:rsidR="00EB6AC7" w:rsidRPr="00EB6AC7">
        <w:rPr>
          <w:i/>
        </w:rPr>
        <w:t>DatenModell DiversityPhone</w:t>
      </w:r>
      <w:r w:rsidR="00EB6AC7">
        <w:rPr>
          <w:i/>
        </w:rPr>
        <w:t>.</w:t>
      </w:r>
    </w:p>
    <w:p w:rsidR="00EB6AC7" w:rsidRDefault="00EB6AC7" w:rsidP="00304F32">
      <w:r>
        <w:t xml:space="preserve">Die Übertragung von </w:t>
      </w:r>
      <w:proofErr w:type="spellStart"/>
      <w:r>
        <w:t>Feldaten</w:t>
      </w:r>
      <w:proofErr w:type="spellEnd"/>
      <w:r>
        <w:t xml:space="preserve"> </w:t>
      </w:r>
      <w:proofErr w:type="spellStart"/>
      <w:r>
        <w:t>aan</w:t>
      </w:r>
      <w:proofErr w:type="spellEnd"/>
      <w:r>
        <w:t xml:space="preserve"> das Repository sowie die Übertragung von Definitionen an das Mobilgerät wird über WCF-Webservices realisiert, die am SNSB </w:t>
      </w:r>
      <w:proofErr w:type="spellStart"/>
      <w:r>
        <w:t>gehostet</w:t>
      </w:r>
      <w:proofErr w:type="spellEnd"/>
      <w:r>
        <w:t xml:space="preserve"> werden.</w:t>
      </w:r>
      <w:r w:rsidR="00F20302">
        <w:t xml:space="preserve"> Diese sind im Folgenden:</w:t>
      </w:r>
    </w:p>
    <w:p w:rsidR="00F20302" w:rsidRPr="00F20302" w:rsidRDefault="00F20302" w:rsidP="00F20302">
      <w:pPr>
        <w:pStyle w:val="Listenabsatz"/>
        <w:numPr>
          <w:ilvl w:val="0"/>
          <w:numId w:val="2"/>
        </w:numPr>
        <w:rPr>
          <w:i/>
        </w:rPr>
      </w:pPr>
      <w:proofErr w:type="spellStart"/>
      <w:r>
        <w:t>DiversityService</w:t>
      </w:r>
      <w:proofErr w:type="spellEnd"/>
      <w:r>
        <w:t xml:space="preserve">: Übertragung von Felddaten an das SNSB, Download von Definitionen, Download von taxonomischen Listen. Verantwortlich für die Synchronisation (siehe Dokument -&gt; </w:t>
      </w:r>
      <w:r w:rsidRPr="00F20302">
        <w:rPr>
          <w:i/>
        </w:rPr>
        <w:t>Synchronisation</w:t>
      </w:r>
      <w:r>
        <w:t>)</w:t>
      </w:r>
    </w:p>
    <w:p w:rsidR="00F20302" w:rsidRPr="00664ADB" w:rsidRDefault="00F20302" w:rsidP="00F20302">
      <w:pPr>
        <w:pStyle w:val="Listenabsatz"/>
        <w:numPr>
          <w:ilvl w:val="0"/>
          <w:numId w:val="2"/>
        </w:numPr>
      </w:pPr>
      <w:proofErr w:type="spellStart"/>
      <w:r>
        <w:t>MapMediaService</w:t>
      </w:r>
      <w:proofErr w:type="spellEnd"/>
      <w:r>
        <w:t xml:space="preserve"> und MediaService4: Annahme von MultimediaObjekten und Versorgung mit Webadressen zum Download von Kartenmaterial. Diese Webservices werden am SNSB programmiert und sind somit nicht Teil dieser Dokumentation. Die Anwendung</w:t>
      </w:r>
      <w:r w:rsidR="00664ADB">
        <w:t xml:space="preserve"> der Webservices findet sich in den Dokumenten :-&gt; </w:t>
      </w:r>
      <w:r w:rsidR="00664ADB" w:rsidRPr="00664ADB">
        <w:rPr>
          <w:i/>
        </w:rPr>
        <w:t>Upload Multimedia</w:t>
      </w:r>
      <w:r w:rsidR="00664ADB">
        <w:t xml:space="preserve"> und </w:t>
      </w:r>
      <w:r w:rsidR="00664ADB" w:rsidRPr="00664ADB">
        <w:rPr>
          <w:i/>
        </w:rPr>
        <w:t>Download Karten</w:t>
      </w:r>
      <w:r w:rsidR="00664ADB">
        <w:rPr>
          <w:i/>
        </w:rPr>
        <w:t>.</w:t>
      </w:r>
    </w:p>
    <w:p w:rsidR="00E50EC8" w:rsidRDefault="00E50EC8" w:rsidP="00E50EC8">
      <w:pPr>
        <w:pStyle w:val="Listenabsatz"/>
        <w:ind w:left="708"/>
      </w:pPr>
    </w:p>
    <w:p w:rsidR="00664ADB" w:rsidRPr="00E50EC8" w:rsidRDefault="00664ADB" w:rsidP="00E50EC8">
      <w:pPr>
        <w:pStyle w:val="Listenabsatz"/>
        <w:ind w:left="360"/>
      </w:pPr>
      <w:r>
        <w:lastRenderedPageBreak/>
        <w:t xml:space="preserve">Die Webservices sind als </w:t>
      </w:r>
      <w:proofErr w:type="spellStart"/>
      <w:r w:rsidRPr="00664ADB">
        <w:rPr>
          <w:i/>
        </w:rPr>
        <w:t>ServiceReferences</w:t>
      </w:r>
      <w:proofErr w:type="spellEnd"/>
      <w:r w:rsidRPr="00664ADB">
        <w:rPr>
          <w:i/>
        </w:rPr>
        <w:t xml:space="preserve"> </w:t>
      </w:r>
      <w:r w:rsidRPr="00664ADB">
        <w:t xml:space="preserve">in </w:t>
      </w:r>
      <w:r>
        <w:t xml:space="preserve">DiversityPhone eingebunden und werden so aus dem </w:t>
      </w:r>
      <w:proofErr w:type="spellStart"/>
      <w:r>
        <w:t>SourceCode</w:t>
      </w:r>
      <w:proofErr w:type="spellEnd"/>
      <w:r>
        <w:t xml:space="preserve"> von DiversityPhone angesprochen. Für näheres hierzu siehe: </w:t>
      </w:r>
      <w:hyperlink r:id="rId6" w:history="1">
        <w:r w:rsidRPr="007B111D">
          <w:rPr>
            <w:rStyle w:val="Hyperlink"/>
          </w:rPr>
          <w:t>http://msdn.microsoft.com/en-us/library/bb628652.aspx</w:t>
        </w:r>
      </w:hyperlink>
      <w:r>
        <w:t xml:space="preserve"> .</w:t>
      </w:r>
      <w:r w:rsidR="00E50EC8">
        <w:t xml:space="preserve"> Der Webservice </w:t>
      </w:r>
      <w:proofErr w:type="spellStart"/>
      <w:r w:rsidR="00E50EC8">
        <w:t>DiversityService</w:t>
      </w:r>
      <w:proofErr w:type="spellEnd"/>
      <w:r w:rsidR="00E50EC8">
        <w:t xml:space="preserve"> greift dabei auf die Datenbank des Repositories zu und wandelt die Daten des mobilen Clients in passende Objekte mit der Struktur des Repositories um. Da mit </w:t>
      </w:r>
      <w:proofErr w:type="spellStart"/>
      <w:r w:rsidR="00E50EC8">
        <w:t>verscheidenen</w:t>
      </w:r>
      <w:proofErr w:type="spellEnd"/>
      <w:r w:rsidR="00E50EC8">
        <w:t xml:space="preserve"> Datenbanken im Repository gearbeitet werden kann, die zwar über eine ähnlich aber nicht dieselbe Struktur verfügen, muss ein sehr flexibles ORM in diesem WebService verwendet werden. Deshalb wird im </w:t>
      </w:r>
      <w:proofErr w:type="spellStart"/>
      <w:r w:rsidR="00E50EC8">
        <w:t>DiversityService</w:t>
      </w:r>
      <w:proofErr w:type="spellEnd"/>
      <w:r w:rsidR="00E50EC8">
        <w:t xml:space="preserve"> </w:t>
      </w:r>
      <w:proofErr w:type="spellStart"/>
      <w:r w:rsidR="00E50EC8">
        <w:t>PetaPoco</w:t>
      </w:r>
      <w:proofErr w:type="spellEnd"/>
      <w:r w:rsidR="00E50EC8">
        <w:t xml:space="preserve"> verwendet (-&gt;</w:t>
      </w:r>
      <w:hyperlink r:id="rId7" w:history="1">
        <w:r w:rsidR="00E50EC8">
          <w:rPr>
            <w:rStyle w:val="Hyperlink"/>
          </w:rPr>
          <w:t>http://www.toptensoftware.com/petapoco/</w:t>
        </w:r>
      </w:hyperlink>
      <w:r w:rsidR="00E50EC8">
        <w:t xml:space="preserve">), da dieses ORM eine sehr flexible Anpassung der Datenstrukturen erlaubt. Näheres hierzu findet sich im Dokument </w:t>
      </w:r>
      <w:r w:rsidR="00E50EC8" w:rsidRPr="00E50EC8">
        <w:rPr>
          <w:i/>
        </w:rPr>
        <w:t>Synchronisation.</w:t>
      </w:r>
    </w:p>
    <w:p w:rsidR="00664ADB" w:rsidRPr="007E7B17" w:rsidRDefault="00664ADB" w:rsidP="00E50EC8">
      <w:pPr>
        <w:ind w:left="360"/>
      </w:pPr>
      <w:r>
        <w:t xml:space="preserve">Die Daten werden auf dem mobilen Client in einer </w:t>
      </w:r>
      <w:proofErr w:type="spellStart"/>
      <w:r>
        <w:t>MSSQLServerCE</w:t>
      </w:r>
      <w:proofErr w:type="spellEnd"/>
      <w:r>
        <w:t>-Datenbank gehalten, die nativ in WindowsPhone ab Version 7.5(Mango) enthalten ist. Dementsprechend setzt DiversityMobile auch die Betriebssystem-Version 7.5 voraus. Der Zugriff auf diese Datenbank ist in verschiedenen internen Services gekapselt.</w:t>
      </w:r>
      <w:r w:rsidR="00E50EC8">
        <w:t xml:space="preserve"> Diese sprechen über linq2sql (</w:t>
      </w:r>
      <w:proofErr w:type="gramStart"/>
      <w:r w:rsidR="00E50EC8">
        <w:t>siehe :</w:t>
      </w:r>
      <w:proofErr w:type="gramEnd"/>
      <w:r w:rsidR="00E50EC8">
        <w:t xml:space="preserve"> </w:t>
      </w:r>
      <w:hyperlink r:id="rId8" w:history="1">
        <w:r w:rsidR="00E50EC8" w:rsidRPr="007B111D">
          <w:rPr>
            <w:rStyle w:val="Hyperlink"/>
          </w:rPr>
          <w:t>http://msdn.microsoft.com/de-de/library/vstudio/bb386976.aspx</w:t>
        </w:r>
      </w:hyperlink>
      <w:r w:rsidR="00E50EC8">
        <w:t>) die Datenbank auf dem Mobilgerät an.</w:t>
      </w:r>
      <w:r w:rsidR="007E7B17">
        <w:t xml:space="preserve"> Dazu wird für diese Daten ein sogenannter </w:t>
      </w:r>
      <w:proofErr w:type="spellStart"/>
      <w:r w:rsidR="007E7B17">
        <w:t>DataContext</w:t>
      </w:r>
      <w:proofErr w:type="spellEnd"/>
      <w:r w:rsidR="007E7B17">
        <w:t xml:space="preserve"> angelegt, welcher das logische Datenbankmodell in C# enthält. Genauere Informationen finden sich im Dokument -&gt; </w:t>
      </w:r>
      <w:proofErr w:type="spellStart"/>
      <w:r w:rsidR="007E7B17" w:rsidRPr="007E7B17">
        <w:rPr>
          <w:i/>
        </w:rPr>
        <w:t>OfflineStrorage</w:t>
      </w:r>
      <w:proofErr w:type="spellEnd"/>
      <w:r w:rsidR="007E7B17">
        <w:t>.</w:t>
      </w:r>
    </w:p>
    <w:p w:rsidR="007E7B17" w:rsidRDefault="00E50EC8" w:rsidP="007E7B17">
      <w:pPr>
        <w:pStyle w:val="berschrift1"/>
      </w:pPr>
      <w:r>
        <w:t>Interne Kommunikation</w:t>
      </w:r>
    </w:p>
    <w:p w:rsidR="007E7B17" w:rsidRPr="007E7B17" w:rsidRDefault="007E7B17" w:rsidP="007E7B17"/>
    <w:p w:rsidR="00E50EC8" w:rsidRDefault="00E50EC8" w:rsidP="00E50EC8">
      <w:r>
        <w:t>DiversityMobile benötigt an verschiedenen Stellen der Programmausführung Daten aus anderen Teilen des Programms. Diese Kommunikation ist intern über eine Menge von Services gelöst, die jeweils eine spezifische Aufgabe haben. Dazu wird eine Schnittstelle(</w:t>
      </w:r>
      <w:r w:rsidR="00927331">
        <w:t>Interface</w:t>
      </w:r>
      <w:r>
        <w:t xml:space="preserve">) definiert, die von den </w:t>
      </w:r>
      <w:r w:rsidR="007E7B17">
        <w:t xml:space="preserve">ausführenden </w:t>
      </w:r>
      <w:r>
        <w:t>Klassen angesprochen wird</w:t>
      </w:r>
      <w:r w:rsidR="007E7B17">
        <w:t xml:space="preserve">.  Die konkrete Implementierung der Services erfüllt diese Schnittstellen und Instanzen dieser Services sind zentral hinterlegt, so dass dies nicht bei jeder Verwendung neu instanziiert werden müssen. Die Services finden sich im Projekt DiversityPhone im Ordner </w:t>
      </w:r>
      <w:r w:rsidR="00927331">
        <w:t>Services</w:t>
      </w:r>
      <w:r w:rsidR="007E7B17">
        <w:t>.</w:t>
      </w:r>
    </w:p>
    <w:p w:rsidR="007E7B17" w:rsidRDefault="007E7B17" w:rsidP="00E50EC8">
      <w:r>
        <w:t>Die internen Services sind im Folgenden:</w:t>
      </w:r>
    </w:p>
    <w:p w:rsidR="007E7B17" w:rsidRPr="007E7B17" w:rsidRDefault="007E7B17" w:rsidP="007E7B17">
      <w:pPr>
        <w:pStyle w:val="Listenabsatz"/>
        <w:numPr>
          <w:ilvl w:val="0"/>
          <w:numId w:val="5"/>
        </w:numPr>
        <w:autoSpaceDE w:val="0"/>
        <w:autoSpaceDN w:val="0"/>
        <w:adjustRightInd w:val="0"/>
        <w:spacing w:after="0" w:line="240" w:lineRule="auto"/>
        <w:rPr>
          <w:rFonts w:cstheme="minorHAnsi"/>
          <w:sz w:val="19"/>
          <w:szCs w:val="19"/>
        </w:rPr>
      </w:pPr>
      <w:proofErr w:type="spellStart"/>
      <w:r w:rsidRPr="007E7B17">
        <w:rPr>
          <w:rFonts w:ascii="Consolas" w:hAnsi="Consolas" w:cs="Consolas"/>
          <w:color w:val="2B91AF"/>
          <w:sz w:val="19"/>
          <w:szCs w:val="19"/>
        </w:rPr>
        <w:t>IFieldDataService</w:t>
      </w:r>
      <w:proofErr w:type="spellEnd"/>
      <w:r>
        <w:rPr>
          <w:rFonts w:ascii="Consolas" w:hAnsi="Consolas" w:cs="Consolas"/>
          <w:color w:val="2B91AF"/>
          <w:sz w:val="19"/>
          <w:szCs w:val="19"/>
        </w:rPr>
        <w:t>:</w:t>
      </w:r>
      <w:r>
        <w:rPr>
          <w:rFonts w:ascii="Consolas" w:hAnsi="Consolas" w:cs="Consolas"/>
          <w:color w:val="2B91AF"/>
        </w:rPr>
        <w:t xml:space="preserve"> </w:t>
      </w:r>
      <w:r w:rsidRPr="007E7B17">
        <w:rPr>
          <w:rFonts w:cstheme="minorHAnsi"/>
        </w:rPr>
        <w:t>Zugr</w:t>
      </w:r>
      <w:r>
        <w:rPr>
          <w:rFonts w:cstheme="minorHAnsi"/>
        </w:rPr>
        <w:t>iff auf die in der mobilen Datenbank gespeicherten Felddaten</w:t>
      </w:r>
      <w:r w:rsidR="00927331">
        <w:rPr>
          <w:rFonts w:cstheme="minorHAnsi"/>
        </w:rPr>
        <w:t xml:space="preserve"> siehe  -&gt; </w:t>
      </w:r>
      <w:proofErr w:type="spellStart"/>
      <w:r w:rsidR="00927331">
        <w:rPr>
          <w:rFonts w:cstheme="minorHAnsi"/>
        </w:rPr>
        <w:t>Offlinestorage</w:t>
      </w:r>
      <w:proofErr w:type="spellEnd"/>
    </w:p>
    <w:p w:rsidR="007E7B17" w:rsidRPr="00927331" w:rsidRDefault="007E7B17" w:rsidP="007E7B17">
      <w:pPr>
        <w:pStyle w:val="Listenabsatz"/>
        <w:numPr>
          <w:ilvl w:val="0"/>
          <w:numId w:val="5"/>
        </w:numPr>
        <w:autoSpaceDE w:val="0"/>
        <w:autoSpaceDN w:val="0"/>
        <w:adjustRightInd w:val="0"/>
        <w:spacing w:after="0" w:line="240" w:lineRule="auto"/>
        <w:rPr>
          <w:rFonts w:cstheme="minorHAnsi"/>
        </w:rPr>
      </w:pPr>
      <w:proofErr w:type="spellStart"/>
      <w:r w:rsidRPr="007E7B17">
        <w:rPr>
          <w:rFonts w:ascii="Consolas" w:hAnsi="Consolas" w:cs="Consolas"/>
          <w:color w:val="2B91AF"/>
          <w:sz w:val="19"/>
          <w:szCs w:val="19"/>
        </w:rPr>
        <w:t>ITaxonService</w:t>
      </w:r>
      <w:proofErr w:type="spellEnd"/>
      <w:r>
        <w:rPr>
          <w:rFonts w:ascii="Consolas" w:hAnsi="Consolas" w:cs="Consolas"/>
          <w:color w:val="2B91AF"/>
          <w:sz w:val="19"/>
          <w:szCs w:val="19"/>
        </w:rPr>
        <w:t xml:space="preserve">: </w:t>
      </w:r>
      <w:r w:rsidRPr="00927331">
        <w:rPr>
          <w:rFonts w:cstheme="minorHAnsi"/>
        </w:rPr>
        <w:t>Verwaltung von taxonomischen Listen und Zugriff auf Taxa</w:t>
      </w:r>
      <w:r w:rsidR="00927331" w:rsidRPr="00927331">
        <w:rPr>
          <w:rFonts w:cstheme="minorHAnsi"/>
        </w:rPr>
        <w:t xml:space="preserve"> siehe -&gt; </w:t>
      </w:r>
      <w:r w:rsidR="00927331" w:rsidRPr="00927331">
        <w:rPr>
          <w:rFonts w:cstheme="minorHAnsi"/>
          <w:i/>
        </w:rPr>
        <w:t>Download von Taxa, Arbeiten mit Taxa</w:t>
      </w:r>
    </w:p>
    <w:p w:rsidR="007E7B17" w:rsidRPr="007E7B17" w:rsidRDefault="007E7B17" w:rsidP="007E7B17">
      <w:pPr>
        <w:pStyle w:val="Listenabsatz"/>
        <w:numPr>
          <w:ilvl w:val="0"/>
          <w:numId w:val="5"/>
        </w:numPr>
        <w:autoSpaceDE w:val="0"/>
        <w:autoSpaceDN w:val="0"/>
        <w:adjustRightInd w:val="0"/>
        <w:spacing w:after="0" w:line="240" w:lineRule="auto"/>
        <w:rPr>
          <w:rFonts w:ascii="Consolas" w:hAnsi="Consolas" w:cs="Consolas"/>
          <w:color w:val="2B91AF"/>
          <w:sz w:val="19"/>
          <w:szCs w:val="19"/>
        </w:rPr>
      </w:pPr>
      <w:proofErr w:type="spellStart"/>
      <w:r w:rsidRPr="007E7B17">
        <w:rPr>
          <w:rFonts w:ascii="Consolas" w:hAnsi="Consolas" w:cs="Consolas"/>
          <w:color w:val="2B91AF"/>
          <w:sz w:val="19"/>
          <w:szCs w:val="19"/>
        </w:rPr>
        <w:t>IVocabularyService</w:t>
      </w:r>
      <w:proofErr w:type="spellEnd"/>
      <w:r>
        <w:rPr>
          <w:rFonts w:ascii="Consolas" w:hAnsi="Consolas" w:cs="Consolas"/>
          <w:color w:val="2B91AF"/>
          <w:sz w:val="19"/>
          <w:szCs w:val="19"/>
        </w:rPr>
        <w:t>:</w:t>
      </w:r>
      <w:r w:rsidR="00927331">
        <w:rPr>
          <w:rFonts w:ascii="Consolas" w:hAnsi="Consolas" w:cs="Consolas"/>
          <w:color w:val="2B91AF"/>
          <w:sz w:val="19"/>
          <w:szCs w:val="19"/>
        </w:rPr>
        <w:t xml:space="preserve"> </w:t>
      </w:r>
      <w:r w:rsidR="00927331" w:rsidRPr="00927331">
        <w:rPr>
          <w:rFonts w:cstheme="minorHAnsi"/>
        </w:rPr>
        <w:t>Verwaltung von Schlagworten aus DiversityCollection</w:t>
      </w:r>
    </w:p>
    <w:p w:rsidR="007E7B17" w:rsidRPr="00927331" w:rsidRDefault="007E7B17" w:rsidP="007E7B17">
      <w:pPr>
        <w:pStyle w:val="Listenabsatz"/>
        <w:numPr>
          <w:ilvl w:val="0"/>
          <w:numId w:val="5"/>
        </w:numPr>
        <w:autoSpaceDE w:val="0"/>
        <w:autoSpaceDN w:val="0"/>
        <w:adjustRightInd w:val="0"/>
        <w:spacing w:after="0" w:line="240" w:lineRule="auto"/>
        <w:rPr>
          <w:rFonts w:ascii="Consolas" w:hAnsi="Consolas" w:cs="Consolas"/>
          <w:i/>
          <w:color w:val="2B91AF"/>
          <w:sz w:val="19"/>
          <w:szCs w:val="19"/>
        </w:rPr>
      </w:pPr>
      <w:proofErr w:type="spellStart"/>
      <w:r w:rsidRPr="007E7B17">
        <w:rPr>
          <w:rFonts w:ascii="Consolas" w:hAnsi="Consolas" w:cs="Consolas"/>
          <w:color w:val="2B91AF"/>
          <w:sz w:val="19"/>
          <w:szCs w:val="19"/>
        </w:rPr>
        <w:t>IBackgroundService</w:t>
      </w:r>
      <w:proofErr w:type="spellEnd"/>
      <w:r>
        <w:rPr>
          <w:rFonts w:ascii="Consolas" w:hAnsi="Consolas" w:cs="Consolas"/>
          <w:color w:val="2B91AF"/>
          <w:sz w:val="19"/>
          <w:szCs w:val="19"/>
        </w:rPr>
        <w:t>:</w:t>
      </w:r>
      <w:r w:rsidR="00927331">
        <w:rPr>
          <w:rFonts w:ascii="Consolas" w:hAnsi="Consolas" w:cs="Consolas"/>
          <w:color w:val="2B91AF"/>
          <w:sz w:val="19"/>
          <w:szCs w:val="19"/>
        </w:rPr>
        <w:t xml:space="preserve"> </w:t>
      </w:r>
      <w:r w:rsidR="00927331" w:rsidRPr="00927331">
        <w:rPr>
          <w:rFonts w:cstheme="minorHAnsi"/>
        </w:rPr>
        <w:t xml:space="preserve">Organisation von Prozessen im Background, so dass während deren Ausführung weitergearbeitet werden kann -&gt; </w:t>
      </w:r>
      <w:r w:rsidR="00927331" w:rsidRPr="00927331">
        <w:rPr>
          <w:rFonts w:cstheme="minorHAnsi"/>
          <w:i/>
        </w:rPr>
        <w:t>Backgroundservices</w:t>
      </w:r>
    </w:p>
    <w:p w:rsidR="007E7B17" w:rsidRPr="007E7B17" w:rsidRDefault="007E7B17" w:rsidP="007E7B17">
      <w:pPr>
        <w:pStyle w:val="Listenabsatz"/>
        <w:numPr>
          <w:ilvl w:val="0"/>
          <w:numId w:val="5"/>
        </w:numPr>
        <w:autoSpaceDE w:val="0"/>
        <w:autoSpaceDN w:val="0"/>
        <w:adjustRightInd w:val="0"/>
        <w:spacing w:after="0" w:line="240" w:lineRule="auto"/>
        <w:rPr>
          <w:rFonts w:ascii="Consolas" w:hAnsi="Consolas" w:cs="Consolas"/>
          <w:color w:val="2B91AF"/>
          <w:sz w:val="19"/>
          <w:szCs w:val="19"/>
        </w:rPr>
      </w:pPr>
      <w:proofErr w:type="spellStart"/>
      <w:r w:rsidRPr="007E7B17">
        <w:rPr>
          <w:rFonts w:ascii="Consolas" w:hAnsi="Consolas" w:cs="Consolas"/>
          <w:color w:val="2B91AF"/>
          <w:sz w:val="19"/>
          <w:szCs w:val="19"/>
        </w:rPr>
        <w:t>IConnectivityService</w:t>
      </w:r>
      <w:proofErr w:type="spellEnd"/>
      <w:r>
        <w:rPr>
          <w:rFonts w:ascii="Consolas" w:hAnsi="Consolas" w:cs="Consolas"/>
          <w:color w:val="2B91AF"/>
          <w:sz w:val="19"/>
          <w:szCs w:val="19"/>
        </w:rPr>
        <w:t>:</w:t>
      </w:r>
      <w:r w:rsidR="00927331">
        <w:rPr>
          <w:rFonts w:ascii="Consolas" w:hAnsi="Consolas" w:cs="Consolas"/>
          <w:color w:val="2B91AF"/>
          <w:sz w:val="19"/>
          <w:szCs w:val="19"/>
        </w:rPr>
        <w:t xml:space="preserve"> </w:t>
      </w:r>
      <w:r w:rsidR="00927331" w:rsidRPr="00927331">
        <w:rPr>
          <w:rFonts w:cstheme="minorHAnsi"/>
        </w:rPr>
        <w:t>Service zum Überprüfen einer Onlineanbindung</w:t>
      </w:r>
    </w:p>
    <w:p w:rsidR="007E7B17" w:rsidRPr="00927331" w:rsidRDefault="007E7B17" w:rsidP="007E7B17">
      <w:pPr>
        <w:pStyle w:val="Listenabsatz"/>
        <w:numPr>
          <w:ilvl w:val="0"/>
          <w:numId w:val="5"/>
        </w:numPr>
        <w:autoSpaceDE w:val="0"/>
        <w:autoSpaceDN w:val="0"/>
        <w:adjustRightInd w:val="0"/>
        <w:spacing w:after="0" w:line="240" w:lineRule="auto"/>
        <w:rPr>
          <w:rFonts w:ascii="Consolas" w:hAnsi="Consolas" w:cs="Consolas"/>
          <w:i/>
          <w:color w:val="2B91AF"/>
          <w:sz w:val="19"/>
          <w:szCs w:val="19"/>
        </w:rPr>
      </w:pPr>
      <w:proofErr w:type="spellStart"/>
      <w:r w:rsidRPr="007E7B17">
        <w:rPr>
          <w:rFonts w:ascii="Consolas" w:hAnsi="Consolas" w:cs="Consolas"/>
          <w:color w:val="2B91AF"/>
          <w:sz w:val="19"/>
          <w:szCs w:val="19"/>
        </w:rPr>
        <w:t>ILocationService</w:t>
      </w:r>
      <w:proofErr w:type="spellEnd"/>
      <w:r>
        <w:rPr>
          <w:rFonts w:ascii="Consolas" w:hAnsi="Consolas" w:cs="Consolas"/>
          <w:color w:val="2B91AF"/>
          <w:sz w:val="19"/>
          <w:szCs w:val="19"/>
        </w:rPr>
        <w:t>:</w:t>
      </w:r>
      <w:r w:rsidR="00927331">
        <w:rPr>
          <w:rFonts w:ascii="Consolas" w:hAnsi="Consolas" w:cs="Consolas"/>
          <w:color w:val="2B91AF"/>
          <w:sz w:val="19"/>
          <w:szCs w:val="19"/>
        </w:rPr>
        <w:t xml:space="preserve"> </w:t>
      </w:r>
      <w:r w:rsidR="00927331" w:rsidRPr="00927331">
        <w:rPr>
          <w:rFonts w:cstheme="minorHAnsi"/>
        </w:rPr>
        <w:t>Service</w:t>
      </w:r>
      <w:r w:rsidR="00927331">
        <w:rPr>
          <w:rFonts w:ascii="Consolas" w:hAnsi="Consolas" w:cs="Consolas"/>
          <w:color w:val="2B91AF"/>
          <w:sz w:val="19"/>
          <w:szCs w:val="19"/>
        </w:rPr>
        <w:t xml:space="preserve"> </w:t>
      </w:r>
      <w:r w:rsidR="00927331" w:rsidRPr="00927331">
        <w:rPr>
          <w:rFonts w:cstheme="minorHAnsi"/>
        </w:rPr>
        <w:t xml:space="preserve">für die Georeferenzierung -&gt; </w:t>
      </w:r>
      <w:r w:rsidR="00927331" w:rsidRPr="00927331">
        <w:rPr>
          <w:rFonts w:cstheme="minorHAnsi"/>
          <w:i/>
        </w:rPr>
        <w:t>Georeferenzierung</w:t>
      </w:r>
    </w:p>
    <w:p w:rsidR="007E7B17" w:rsidRPr="00927331" w:rsidRDefault="007E7B17" w:rsidP="007E7B17">
      <w:pPr>
        <w:pStyle w:val="Listenabsatz"/>
        <w:numPr>
          <w:ilvl w:val="0"/>
          <w:numId w:val="5"/>
        </w:numPr>
        <w:autoSpaceDE w:val="0"/>
        <w:autoSpaceDN w:val="0"/>
        <w:adjustRightInd w:val="0"/>
        <w:spacing w:after="0" w:line="240" w:lineRule="auto"/>
        <w:rPr>
          <w:rFonts w:cstheme="minorHAnsi"/>
        </w:rPr>
      </w:pPr>
      <w:proofErr w:type="spellStart"/>
      <w:r w:rsidRPr="007E7B17">
        <w:rPr>
          <w:rFonts w:ascii="Consolas" w:hAnsi="Consolas" w:cs="Consolas"/>
          <w:color w:val="2B91AF"/>
          <w:sz w:val="19"/>
          <w:szCs w:val="19"/>
        </w:rPr>
        <w:t>IMultiMediaClient</w:t>
      </w:r>
      <w:proofErr w:type="spellEnd"/>
      <w:r>
        <w:rPr>
          <w:rFonts w:ascii="Consolas" w:hAnsi="Consolas" w:cs="Consolas"/>
          <w:color w:val="2B91AF"/>
          <w:sz w:val="19"/>
          <w:szCs w:val="19"/>
        </w:rPr>
        <w:t>:</w:t>
      </w:r>
      <w:r w:rsidR="00927331">
        <w:rPr>
          <w:rFonts w:ascii="Consolas" w:hAnsi="Consolas" w:cs="Consolas"/>
          <w:color w:val="2B91AF"/>
          <w:sz w:val="19"/>
          <w:szCs w:val="19"/>
        </w:rPr>
        <w:t xml:space="preserve"> </w:t>
      </w:r>
      <w:r w:rsidR="00927331" w:rsidRPr="00927331">
        <w:rPr>
          <w:rFonts w:cstheme="minorHAnsi"/>
        </w:rPr>
        <w:t xml:space="preserve">Kapselung des Webservices zum Upload von Multimediadaten -&gt; </w:t>
      </w:r>
      <w:r w:rsidR="00927331" w:rsidRPr="00927331">
        <w:rPr>
          <w:rFonts w:cstheme="minorHAnsi"/>
          <w:i/>
        </w:rPr>
        <w:t>Upload Multimedia</w:t>
      </w:r>
    </w:p>
    <w:p w:rsidR="007E7B17" w:rsidRPr="00927331" w:rsidRDefault="007E7B17" w:rsidP="007E7B17">
      <w:pPr>
        <w:pStyle w:val="Listenabsatz"/>
        <w:numPr>
          <w:ilvl w:val="0"/>
          <w:numId w:val="5"/>
        </w:numPr>
        <w:autoSpaceDE w:val="0"/>
        <w:autoSpaceDN w:val="0"/>
        <w:adjustRightInd w:val="0"/>
        <w:spacing w:after="0" w:line="240" w:lineRule="auto"/>
        <w:rPr>
          <w:rFonts w:cstheme="minorHAnsi"/>
        </w:rPr>
      </w:pPr>
      <w:proofErr w:type="spellStart"/>
      <w:r w:rsidRPr="007E7B17">
        <w:rPr>
          <w:rFonts w:ascii="Consolas" w:hAnsi="Consolas" w:cs="Consolas"/>
          <w:color w:val="2B91AF"/>
          <w:sz w:val="19"/>
          <w:szCs w:val="19"/>
        </w:rPr>
        <w:t>ISettingsService</w:t>
      </w:r>
      <w:proofErr w:type="spellEnd"/>
      <w:r w:rsidR="00927331">
        <w:rPr>
          <w:rFonts w:ascii="Consolas" w:hAnsi="Consolas" w:cs="Consolas"/>
          <w:color w:val="2B91AF"/>
          <w:sz w:val="19"/>
          <w:szCs w:val="19"/>
        </w:rPr>
        <w:t xml:space="preserve">: </w:t>
      </w:r>
      <w:r w:rsidR="00927331" w:rsidRPr="00927331">
        <w:rPr>
          <w:rFonts w:cstheme="minorHAnsi"/>
        </w:rPr>
        <w:t>Nutzerverwaltung</w:t>
      </w:r>
    </w:p>
    <w:p w:rsidR="007E7B17" w:rsidRPr="00927331" w:rsidRDefault="007E7B17" w:rsidP="007E7B17">
      <w:pPr>
        <w:pStyle w:val="Listenabsatz"/>
        <w:numPr>
          <w:ilvl w:val="0"/>
          <w:numId w:val="5"/>
        </w:numPr>
        <w:autoSpaceDE w:val="0"/>
        <w:autoSpaceDN w:val="0"/>
        <w:adjustRightInd w:val="0"/>
        <w:spacing w:after="0" w:line="240" w:lineRule="auto"/>
        <w:rPr>
          <w:rFonts w:cstheme="minorHAnsi"/>
        </w:rPr>
      </w:pPr>
      <w:proofErr w:type="spellStart"/>
      <w:r w:rsidRPr="007E7B17">
        <w:rPr>
          <w:rFonts w:ascii="Consolas" w:hAnsi="Consolas" w:cs="Consolas"/>
          <w:color w:val="2B91AF"/>
          <w:sz w:val="19"/>
          <w:szCs w:val="19"/>
        </w:rPr>
        <w:t>NavigationService</w:t>
      </w:r>
      <w:proofErr w:type="spellEnd"/>
      <w:r>
        <w:rPr>
          <w:rFonts w:ascii="Consolas" w:hAnsi="Consolas" w:cs="Consolas"/>
          <w:color w:val="2B91AF"/>
          <w:sz w:val="19"/>
          <w:szCs w:val="19"/>
        </w:rPr>
        <w:t>:</w:t>
      </w:r>
      <w:r w:rsidR="00927331">
        <w:rPr>
          <w:rFonts w:ascii="Consolas" w:hAnsi="Consolas" w:cs="Consolas"/>
          <w:color w:val="2B91AF"/>
          <w:sz w:val="19"/>
          <w:szCs w:val="19"/>
        </w:rPr>
        <w:t xml:space="preserve"> </w:t>
      </w:r>
      <w:r w:rsidR="00927331" w:rsidRPr="00927331">
        <w:rPr>
          <w:rFonts w:cstheme="minorHAnsi"/>
        </w:rPr>
        <w:t xml:space="preserve">Bedienung des mobilen Clients. Steuerung der Navigation -&gt; </w:t>
      </w:r>
      <w:r w:rsidR="00927331" w:rsidRPr="00927331">
        <w:rPr>
          <w:rFonts w:cstheme="minorHAnsi"/>
          <w:i/>
        </w:rPr>
        <w:t>Navigation</w:t>
      </w:r>
    </w:p>
    <w:p w:rsidR="007E7B17" w:rsidRPr="00927331" w:rsidRDefault="007E7B17" w:rsidP="007E7B17">
      <w:pPr>
        <w:pStyle w:val="Listenabsatz"/>
        <w:numPr>
          <w:ilvl w:val="0"/>
          <w:numId w:val="5"/>
        </w:numPr>
        <w:autoSpaceDE w:val="0"/>
        <w:autoSpaceDN w:val="0"/>
        <w:adjustRightInd w:val="0"/>
        <w:spacing w:after="0" w:line="240" w:lineRule="auto"/>
        <w:rPr>
          <w:rFonts w:cstheme="minorHAnsi"/>
        </w:rPr>
      </w:pPr>
      <w:r w:rsidRPr="007E7B17">
        <w:rPr>
          <w:rFonts w:ascii="Consolas" w:hAnsi="Consolas" w:cs="Consolas"/>
          <w:color w:val="2B91AF"/>
          <w:sz w:val="19"/>
          <w:szCs w:val="19"/>
        </w:rPr>
        <w:lastRenderedPageBreak/>
        <w:t>DialogService</w:t>
      </w:r>
      <w:r>
        <w:rPr>
          <w:rFonts w:ascii="Consolas" w:hAnsi="Consolas" w:cs="Consolas"/>
          <w:color w:val="2B91AF"/>
          <w:sz w:val="19"/>
          <w:szCs w:val="19"/>
        </w:rPr>
        <w:t>:</w:t>
      </w:r>
      <w:r w:rsidR="00927331">
        <w:rPr>
          <w:rFonts w:ascii="Consolas" w:hAnsi="Consolas" w:cs="Consolas"/>
          <w:color w:val="2B91AF"/>
          <w:sz w:val="19"/>
          <w:szCs w:val="19"/>
        </w:rPr>
        <w:t xml:space="preserve"> </w:t>
      </w:r>
      <w:r w:rsidR="00927331" w:rsidRPr="00927331">
        <w:rPr>
          <w:rFonts w:cstheme="minorHAnsi"/>
        </w:rPr>
        <w:t>Informationen an den Nutze</w:t>
      </w:r>
      <w:r w:rsidR="00A15FDB">
        <w:rPr>
          <w:rFonts w:cstheme="minorHAnsi"/>
        </w:rPr>
        <w:t>r zur Programmla</w:t>
      </w:r>
      <w:r w:rsidR="00927331">
        <w:rPr>
          <w:rFonts w:cstheme="minorHAnsi"/>
        </w:rPr>
        <w:t>ufzeit z.B. A</w:t>
      </w:r>
      <w:r w:rsidR="00927331" w:rsidRPr="00927331">
        <w:rPr>
          <w:rFonts w:cstheme="minorHAnsi"/>
        </w:rPr>
        <w:t>usgabe von Fehlermeldungen.</w:t>
      </w:r>
    </w:p>
    <w:p w:rsidR="007E7B17" w:rsidRPr="007E7B17" w:rsidRDefault="007E7B17" w:rsidP="007E7B17">
      <w:pPr>
        <w:pStyle w:val="Listenabsatz"/>
        <w:autoSpaceDE w:val="0"/>
        <w:autoSpaceDN w:val="0"/>
        <w:adjustRightInd w:val="0"/>
        <w:spacing w:after="0" w:line="240" w:lineRule="auto"/>
        <w:rPr>
          <w:rFonts w:ascii="Consolas" w:hAnsi="Consolas" w:cs="Consolas"/>
          <w:color w:val="2B91AF"/>
          <w:sz w:val="19"/>
          <w:szCs w:val="19"/>
        </w:rPr>
      </w:pPr>
    </w:p>
    <w:p w:rsidR="007E7B17" w:rsidRDefault="00927331" w:rsidP="00927331">
      <w:pPr>
        <w:autoSpaceDE w:val="0"/>
        <w:autoSpaceDN w:val="0"/>
        <w:adjustRightInd w:val="0"/>
        <w:spacing w:after="0" w:line="240" w:lineRule="auto"/>
        <w:rPr>
          <w:rFonts w:cstheme="minorHAnsi"/>
          <w:sz w:val="19"/>
          <w:szCs w:val="19"/>
        </w:rPr>
      </w:pPr>
      <w:r>
        <w:rPr>
          <w:rFonts w:cstheme="minorHAnsi"/>
          <w:sz w:val="19"/>
          <w:szCs w:val="19"/>
        </w:rPr>
        <w:t>Die Services werden zentral bei der</w:t>
      </w:r>
      <w:r w:rsidR="00A15FDB">
        <w:rPr>
          <w:rFonts w:cstheme="minorHAnsi"/>
          <w:sz w:val="19"/>
          <w:szCs w:val="19"/>
        </w:rPr>
        <w:t xml:space="preserve"> Initialisierung der APP</w:t>
      </w:r>
      <w:r>
        <w:rPr>
          <w:rFonts w:cstheme="minorHAnsi"/>
          <w:sz w:val="19"/>
          <w:szCs w:val="19"/>
        </w:rPr>
        <w:t xml:space="preserve"> </w:t>
      </w:r>
      <w:r w:rsidR="00A15FDB">
        <w:rPr>
          <w:rFonts w:cstheme="minorHAnsi"/>
          <w:sz w:val="19"/>
          <w:szCs w:val="19"/>
        </w:rPr>
        <w:t xml:space="preserve">angelegt und sind die ganze Laufzeit verfügbar (siehe Klasse </w:t>
      </w:r>
      <w:proofErr w:type="spellStart"/>
      <w:r w:rsidR="00A15FDB" w:rsidRPr="00A15FDB">
        <w:rPr>
          <w:rFonts w:ascii="Consolas" w:hAnsi="Consolas" w:cs="Consolas"/>
          <w:color w:val="2B91AF"/>
          <w:sz w:val="19"/>
          <w:szCs w:val="19"/>
        </w:rPr>
        <w:t>App.caml.cs</w:t>
      </w:r>
      <w:proofErr w:type="spellEnd"/>
      <w:r w:rsidR="00A15FDB">
        <w:rPr>
          <w:rFonts w:cstheme="minorHAnsi"/>
          <w:sz w:val="19"/>
          <w:szCs w:val="19"/>
        </w:rPr>
        <w:t xml:space="preserve"> –Methode </w:t>
      </w:r>
      <w:r w:rsidR="00A15FDB" w:rsidRPr="00A15FDB">
        <w:rPr>
          <w:rFonts w:ascii="Consolas" w:hAnsi="Consolas" w:cs="Consolas"/>
          <w:sz w:val="19"/>
          <w:szCs w:val="19"/>
        </w:rPr>
        <w:t>Initialize()</w:t>
      </w:r>
      <w:r w:rsidR="00A15FDB">
        <w:rPr>
          <w:rFonts w:cstheme="minorHAnsi"/>
          <w:sz w:val="19"/>
          <w:szCs w:val="19"/>
        </w:rPr>
        <w:t>).</w:t>
      </w:r>
    </w:p>
    <w:p w:rsidR="00A15FDB" w:rsidRDefault="00A15FDB" w:rsidP="00927331">
      <w:pPr>
        <w:autoSpaceDE w:val="0"/>
        <w:autoSpaceDN w:val="0"/>
        <w:adjustRightInd w:val="0"/>
        <w:spacing w:after="0" w:line="240" w:lineRule="auto"/>
        <w:rPr>
          <w:rFonts w:cstheme="minorHAnsi"/>
          <w:sz w:val="19"/>
          <w:szCs w:val="19"/>
        </w:rPr>
      </w:pPr>
    </w:p>
    <w:p w:rsidR="00A15FDB" w:rsidRDefault="00265085" w:rsidP="00265085">
      <w:pPr>
        <w:pStyle w:val="berschrift1"/>
      </w:pPr>
      <w:r>
        <w:t>Nutzeroberfläche</w:t>
      </w:r>
    </w:p>
    <w:p w:rsidR="00265085" w:rsidRDefault="00265085" w:rsidP="00265085">
      <w:r>
        <w:t xml:space="preserve">Die Nutzeroberfläche ist im Metro-Design von WindowsPhone gehalten. Die </w:t>
      </w:r>
      <w:proofErr w:type="spellStart"/>
      <w:r>
        <w:t>Oberflächengestalung</w:t>
      </w:r>
      <w:proofErr w:type="spellEnd"/>
      <w:r>
        <w:t xml:space="preserve"> von WindowsPhone basiert auf dem MVVM-Pattern, welches die Anzeige von der Ausführungslogik trennt (siehe -&gt; </w:t>
      </w:r>
      <w:hyperlink r:id="rId9" w:history="1">
        <w:r w:rsidRPr="007B111D">
          <w:rPr>
            <w:rStyle w:val="Hyperlink"/>
          </w:rPr>
          <w:t>http://msdn.microsoft.com/de-de/magazine/dd419663.aspx</w:t>
        </w:r>
      </w:hyperlink>
      <w:r>
        <w:t xml:space="preserve"> ). In DiversityPhone wurden dafür eine Reihe von Views im Ordner Views angelegt. Jedem dieser Views ist ein </w:t>
      </w:r>
      <w:proofErr w:type="spellStart"/>
      <w:r>
        <w:t>Viewmodel</w:t>
      </w:r>
      <w:proofErr w:type="spellEnd"/>
      <w:r>
        <w:t xml:space="preserve"> für die Ausführungslogik zugeordnet. Diese finden sich im Ordner </w:t>
      </w:r>
      <w:proofErr w:type="spellStart"/>
      <w:r>
        <w:t>Viewmodels</w:t>
      </w:r>
      <w:proofErr w:type="spellEnd"/>
      <w:r>
        <w:t>.</w:t>
      </w:r>
    </w:p>
    <w:p w:rsidR="00265085" w:rsidRDefault="00265085" w:rsidP="00265085">
      <w:r>
        <w:t xml:space="preserve">Darüber hinaus ist jede View über </w:t>
      </w:r>
      <w:proofErr w:type="gramStart"/>
      <w:r>
        <w:t>eine</w:t>
      </w:r>
      <w:proofErr w:type="gramEnd"/>
      <w:r>
        <w:t xml:space="preserve"> URI eindeutig gekennzeichnet, welche vom </w:t>
      </w:r>
      <w:proofErr w:type="spellStart"/>
      <w:r>
        <w:t>NavigationService</w:t>
      </w:r>
      <w:proofErr w:type="spellEnd"/>
      <w:r>
        <w:t xml:space="preserve"> verwendet wird um eine entsprechende Seite aufzurufen -&gt;</w:t>
      </w:r>
      <w:r w:rsidRPr="00265085">
        <w:rPr>
          <w:i/>
        </w:rPr>
        <w:t>Navigation</w:t>
      </w:r>
      <w:r>
        <w:t xml:space="preserve">. </w:t>
      </w:r>
    </w:p>
    <w:p w:rsidR="005A0812" w:rsidRDefault="005A0812" w:rsidP="00265085">
      <w:r>
        <w:t xml:space="preserve">Eine View besteht aus 2 </w:t>
      </w:r>
      <w:proofErr w:type="spellStart"/>
      <w:r>
        <w:t>Komponenenten</w:t>
      </w:r>
      <w:proofErr w:type="spellEnd"/>
      <w:r>
        <w:t xml:space="preserve">: Der </w:t>
      </w:r>
      <w:proofErr w:type="spellStart"/>
      <w:r>
        <w:t>Drag&amp;Drop</w:t>
      </w:r>
      <w:proofErr w:type="spellEnd"/>
      <w:r>
        <w:t xml:space="preserve"> Oberflächengestaltung mit XAML-Code und dem Code-</w:t>
      </w:r>
      <w:proofErr w:type="spellStart"/>
      <w:r>
        <w:t>behind</w:t>
      </w:r>
      <w:proofErr w:type="spellEnd"/>
      <w:r>
        <w:t xml:space="preserve">. XAML ist dabei eine besondere XML-Variante die für die Gestaltung von Oberflächen in </w:t>
      </w:r>
      <w:proofErr w:type="spellStart"/>
      <w:r>
        <w:t>Silverlight</w:t>
      </w:r>
      <w:proofErr w:type="spellEnd"/>
      <w:r>
        <w:t xml:space="preserve"> (-&gt;</w:t>
      </w:r>
      <w:hyperlink r:id="rId10" w:history="1">
        <w:r w:rsidRPr="007B111D">
          <w:rPr>
            <w:rStyle w:val="Hyperlink"/>
          </w:rPr>
          <w:t>http://de.wikipedia.org/wiki/Microsoft_Silverlight</w:t>
        </w:r>
      </w:hyperlink>
      <w:r>
        <w:t xml:space="preserve"> ). In diesem werden die konkreten Elemente der Nutzeroberfläche angelegt.</w:t>
      </w:r>
    </w:p>
    <w:p w:rsidR="00265085" w:rsidRDefault="00265085" w:rsidP="00265085">
      <w:r>
        <w:t xml:space="preserve">In </w:t>
      </w:r>
      <w:proofErr w:type="spellStart"/>
      <w:r>
        <w:t>di</w:t>
      </w:r>
      <w:r w:rsidR="005A0812">
        <w:t>der</w:t>
      </w:r>
      <w:proofErr w:type="spellEnd"/>
      <w:r w:rsidR="005A0812">
        <w:t xml:space="preserve"> MVVM-</w:t>
      </w:r>
      <w:r>
        <w:t xml:space="preserve">nehmen die Views direkt die Nutzereingaben auf und leiten diese an die </w:t>
      </w:r>
      <w:proofErr w:type="spellStart"/>
      <w:r>
        <w:t>ViewModels</w:t>
      </w:r>
      <w:proofErr w:type="spellEnd"/>
      <w:r>
        <w:t xml:space="preserve"> weiter. Deswegen</w:t>
      </w:r>
      <w:r w:rsidR="005A0812">
        <w:t xml:space="preserve"> ist jeder View im Code-</w:t>
      </w:r>
      <w:proofErr w:type="spellStart"/>
      <w:r w:rsidR="005A0812">
        <w:t>behind</w:t>
      </w:r>
      <w:proofErr w:type="spellEnd"/>
      <w:r w:rsidR="005A0812">
        <w:t xml:space="preserve"> ein </w:t>
      </w:r>
      <w:proofErr w:type="spellStart"/>
      <w:r w:rsidR="005A0812">
        <w:t>ViewModel</w:t>
      </w:r>
      <w:proofErr w:type="spellEnd"/>
      <w:r w:rsidR="005A0812">
        <w:t xml:space="preserve"> zugeordnet, welches die Verarbeitungslogik enthält und somit auch für die Speicherung von verantwortlich ist.</w:t>
      </w:r>
      <w:r w:rsidR="004C597E">
        <w:t xml:space="preserve"> Um asynchron programmieren zu können wird auf das </w:t>
      </w:r>
      <w:proofErr w:type="spellStart"/>
      <w:r w:rsidR="004C597E">
        <w:t>ReactiveUI</w:t>
      </w:r>
      <w:proofErr w:type="spellEnd"/>
      <w:r w:rsidR="004C597E">
        <w:t xml:space="preserve"> zurückgegriffen: -&gt; </w:t>
      </w:r>
      <w:hyperlink r:id="rId11" w:history="1">
        <w:r w:rsidR="004C597E" w:rsidRPr="007B111D">
          <w:rPr>
            <w:rStyle w:val="Hyperlink"/>
          </w:rPr>
          <w:t>http://www.reactiveui.net/</w:t>
        </w:r>
      </w:hyperlink>
      <w:r w:rsidR="004C597E">
        <w:t>.</w:t>
      </w:r>
    </w:p>
    <w:p w:rsidR="003250A8" w:rsidRDefault="003250A8" w:rsidP="00265085">
      <w:r>
        <w:t>Es gibt verschiedene Arten von Views mit jeweils einem anderen Aufgabespektrum:</w:t>
      </w:r>
    </w:p>
    <w:p w:rsidR="003250A8" w:rsidRDefault="003250A8" w:rsidP="004C597E">
      <w:pPr>
        <w:pStyle w:val="berschrift2"/>
        <w:numPr>
          <w:ilvl w:val="0"/>
          <w:numId w:val="8"/>
        </w:numPr>
        <w:jc w:val="center"/>
      </w:pPr>
      <w:r>
        <w:t>Aufnahme/Editieren von Felddaten:</w:t>
      </w:r>
    </w:p>
    <w:p w:rsidR="003250A8" w:rsidRPr="003250A8" w:rsidRDefault="003250A8" w:rsidP="003250A8"/>
    <w:p w:rsidR="003250A8" w:rsidRDefault="003250A8" w:rsidP="003250A8">
      <w:pPr>
        <w:jc w:val="center"/>
      </w:pPr>
      <w:r w:rsidRPr="003250A8">
        <w:drawing>
          <wp:inline distT="0" distB="0" distL="0" distR="0">
            <wp:extent cx="1287760" cy="2384865"/>
            <wp:effectExtent l="19050" t="0" r="7640" b="0"/>
            <wp:docPr id="2" name="Bild 2"/>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12" cstate="print"/>
                    <a:srcRect/>
                    <a:stretch>
                      <a:fillRect/>
                    </a:stretch>
                  </pic:blipFill>
                  <pic:spPr bwMode="auto">
                    <a:xfrm>
                      <a:off x="0" y="0"/>
                      <a:ext cx="1287760" cy="2384865"/>
                    </a:xfrm>
                    <a:prstGeom prst="rect">
                      <a:avLst/>
                    </a:prstGeom>
                    <a:noFill/>
                    <a:ln w="9525">
                      <a:noFill/>
                      <a:miter lim="800000"/>
                      <a:headEnd/>
                      <a:tailEnd/>
                    </a:ln>
                  </pic:spPr>
                </pic:pic>
              </a:graphicData>
            </a:graphic>
          </wp:inline>
        </w:drawing>
      </w:r>
    </w:p>
    <w:p w:rsidR="003250A8" w:rsidRDefault="003250A8" w:rsidP="003250A8">
      <w:r>
        <w:t xml:space="preserve">Über diese Views können Felddaten angelegt und gelöscht werden. Die View muss dementsprechend Felder für die Datenaufnahme der entsprechenden Klasse zu Verfügung stellen. Diese sind mit Properties der </w:t>
      </w:r>
      <w:proofErr w:type="spellStart"/>
      <w:r>
        <w:t>Viewmodels</w:t>
      </w:r>
      <w:proofErr w:type="spellEnd"/>
      <w:r>
        <w:t xml:space="preserve"> verknüpft</w:t>
      </w:r>
      <w:r w:rsidR="00CC5C4D">
        <w:t xml:space="preserve"> und über </w:t>
      </w:r>
      <w:proofErr w:type="spellStart"/>
      <w:r w:rsidR="00CC5C4D" w:rsidRPr="00CC5C4D">
        <w:rPr>
          <w:rFonts w:ascii="Consolas" w:hAnsi="Consolas" w:cs="Consolas"/>
        </w:rPr>
        <w:t>DataBinding</w:t>
      </w:r>
      <w:proofErr w:type="spellEnd"/>
      <w:r w:rsidR="00CC5C4D">
        <w:t xml:space="preserve"> an diese gebunden</w:t>
      </w:r>
      <w:r w:rsidR="00E20679">
        <w:t xml:space="preserve">. Damit diese stets </w:t>
      </w:r>
      <w:r w:rsidR="00E20679">
        <w:lastRenderedPageBreak/>
        <w:t xml:space="preserve">den aktuellen Wert enthalten wird bei der Implementierung der </w:t>
      </w:r>
      <w:proofErr w:type="spellStart"/>
      <w:r w:rsidR="00E20679">
        <w:t>Viewmodels</w:t>
      </w:r>
      <w:proofErr w:type="spellEnd"/>
      <w:r w:rsidR="00E20679">
        <w:t xml:space="preserve"> auf das </w:t>
      </w:r>
      <w:proofErr w:type="spellStart"/>
      <w:r w:rsidR="00E20679">
        <w:t>ReactiveUI</w:t>
      </w:r>
      <w:proofErr w:type="spellEnd"/>
      <w:r w:rsidR="00E20679">
        <w:t xml:space="preserve"> zurückgegriffen: -&gt; </w:t>
      </w:r>
      <w:hyperlink r:id="rId13" w:history="1">
        <w:r w:rsidR="00E20679" w:rsidRPr="007B111D">
          <w:rPr>
            <w:rStyle w:val="Hyperlink"/>
          </w:rPr>
          <w:t>http://www.reactiveui.net/</w:t>
        </w:r>
      </w:hyperlink>
      <w:r w:rsidR="00EC28B6">
        <w:t xml:space="preserve">. Eine Umfassende </w:t>
      </w:r>
      <w:proofErr w:type="spellStart"/>
      <w:r w:rsidR="00EC28B6">
        <w:t>erklärung</w:t>
      </w:r>
      <w:proofErr w:type="spellEnd"/>
      <w:r w:rsidR="00EC28B6">
        <w:t xml:space="preserve"> zur Aufnahme von Daten mit allen Schritten der Aufnahme in das Datenmodell findet sich in dem Dokument -&gt; </w:t>
      </w:r>
      <w:r w:rsidR="00EC28B6" w:rsidRPr="00EC28B6">
        <w:rPr>
          <w:i/>
        </w:rPr>
        <w:t xml:space="preserve">Datenklassen </w:t>
      </w:r>
      <w:proofErr w:type="spellStart"/>
      <w:r w:rsidR="00EC28B6" w:rsidRPr="00EC28B6">
        <w:rPr>
          <w:i/>
        </w:rPr>
        <w:t>HowTo</w:t>
      </w:r>
      <w:proofErr w:type="spellEnd"/>
      <w:r w:rsidR="00EC28B6">
        <w:t>.</w:t>
      </w:r>
    </w:p>
    <w:p w:rsidR="00EC28B6" w:rsidRDefault="00EC28B6" w:rsidP="003250A8"/>
    <w:p w:rsidR="00E20679" w:rsidRDefault="00E20679" w:rsidP="004C597E">
      <w:pPr>
        <w:pStyle w:val="berschrift3"/>
        <w:numPr>
          <w:ilvl w:val="0"/>
          <w:numId w:val="8"/>
        </w:numPr>
        <w:jc w:val="center"/>
      </w:pPr>
      <w:r>
        <w:t>Anzeige von Listen einer Datenklasse mit Pivots</w:t>
      </w:r>
    </w:p>
    <w:p w:rsidR="00E20679" w:rsidRPr="00E20679" w:rsidRDefault="00E20679" w:rsidP="00E20679"/>
    <w:p w:rsidR="003250A8" w:rsidRDefault="00E20679" w:rsidP="00E20679">
      <w:pPr>
        <w:jc w:val="center"/>
      </w:pPr>
      <w:r w:rsidRPr="00E20679">
        <w:drawing>
          <wp:inline distT="0" distB="0" distL="0" distR="0">
            <wp:extent cx="4896544" cy="3168352"/>
            <wp:effectExtent l="0" t="0" r="0" b="0"/>
            <wp:docPr id="3" name="Objek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96544" cy="3168352"/>
                      <a:chOff x="1979712" y="2204864"/>
                      <a:chExt cx="4896544" cy="3168352"/>
                    </a:xfrm>
                  </a:grpSpPr>
                  <a:grpSp>
                    <a:nvGrpSpPr>
                      <a:cNvPr id="6" name="Gruppieren 5"/>
                      <a:cNvGrpSpPr/>
                    </a:nvGrpSpPr>
                    <a:grpSpPr>
                      <a:xfrm>
                        <a:off x="1979712" y="2204864"/>
                        <a:ext cx="4896544" cy="3168352"/>
                        <a:chOff x="539552" y="908720"/>
                        <a:chExt cx="7632848" cy="5184576"/>
                      </a:xfrm>
                    </a:grpSpPr>
                    <a:grpSp>
                      <a:nvGrpSpPr>
                        <a:cNvPr id="3" name="Gruppieren 24"/>
                        <a:cNvGrpSpPr/>
                      </a:nvGrpSpPr>
                      <a:grpSpPr>
                        <a:xfrm>
                          <a:off x="539552" y="908720"/>
                          <a:ext cx="2232248" cy="5184576"/>
                          <a:chOff x="539552" y="908720"/>
                          <a:chExt cx="2232248" cy="5184576"/>
                        </a:xfrm>
                      </a:grpSpPr>
                      <a:pic>
                        <a:nvPicPr>
                          <a:cNvPr id="20" name="Picture 2"/>
                          <a:cNvPicPr>
                            <a:picLocks noChangeAspect="1" noChangeArrowheads="1"/>
                          </a:cNvPicPr>
                        </a:nvPicPr>
                        <a:blipFill>
                          <a:blip r:embed="rId14" cstate="print"/>
                          <a:srcRect/>
                          <a:stretch>
                            <a:fillRect/>
                          </a:stretch>
                        </a:blipFill>
                        <a:spPr bwMode="auto">
                          <a:xfrm>
                            <a:off x="683568" y="1556792"/>
                            <a:ext cx="2016224" cy="3787088"/>
                          </a:xfrm>
                          <a:prstGeom prst="rect">
                            <a:avLst/>
                          </a:prstGeom>
                          <a:noFill/>
                          <a:ln w="9525">
                            <a:noFill/>
                            <a:miter lim="800000"/>
                            <a:headEnd/>
                            <a:tailEnd/>
                          </a:ln>
                        </a:spPr>
                      </a:pic>
                      <a:sp>
                        <a:nvSpPr>
                          <a:cNvPr id="21" name="Rechteck 20"/>
                          <a:cNvSpPr/>
                        </a:nvSpPr>
                        <a:spPr>
                          <a:xfrm>
                            <a:off x="611560" y="908720"/>
                            <a:ext cx="2160240" cy="504056"/>
                          </a:xfrm>
                          <a:prstGeom prst="rect">
                            <a:avLst/>
                          </a:prstGeom>
                        </a:spPr>
                        <a:txSp>
                          <a:txBody>
                            <a:bodyPr rtlCol="0" anchor="ctr"/>
                            <a:lstStyle>
                              <a:defPPr>
                                <a:defRPr lang="de-DE"/>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de-DE" sz="1200" dirty="0" smtClean="0"/>
                                <a:t>Pivot: </a:t>
                              </a:r>
                              <a:r>
                                <a:rPr lang="de-DE" sz="1200" dirty="0" err="1" smtClean="0"/>
                                <a:t>Specimen</a:t>
                              </a:r>
                              <a:endParaRPr lang="de-DE" sz="1200" dirty="0"/>
                            </a:p>
                          </a:txBody>
                          <a:useSpRect/>
                        </a:txSp>
                        <a:style>
                          <a:lnRef idx="1">
                            <a:schemeClr val="accent1"/>
                          </a:lnRef>
                          <a:fillRef idx="2">
                            <a:schemeClr val="accent1"/>
                          </a:fillRef>
                          <a:effectRef idx="1">
                            <a:schemeClr val="accent1"/>
                          </a:effectRef>
                          <a:fontRef idx="minor">
                            <a:schemeClr val="dk1"/>
                          </a:fontRef>
                        </a:style>
                      </a:sp>
                      <a:grpSp>
                        <a:nvGrpSpPr>
                          <a:cNvPr id="22" name="Gruppieren 21"/>
                          <a:cNvGrpSpPr/>
                        </a:nvGrpSpPr>
                        <a:grpSpPr>
                          <a:xfrm>
                            <a:off x="539552" y="4653136"/>
                            <a:ext cx="2160240" cy="1440160"/>
                            <a:chOff x="539552" y="4653136"/>
                            <a:chExt cx="2160240" cy="1440160"/>
                          </a:xfrm>
                        </a:grpSpPr>
                        <a:sp>
                          <a:nvSpPr>
                            <a:cNvPr id="23" name="Rechteck 13"/>
                            <a:cNvSpPr/>
                          </a:nvSpPr>
                          <a:spPr>
                            <a:xfrm>
                              <a:off x="539552" y="5589240"/>
                              <a:ext cx="2160240" cy="504056"/>
                            </a:xfrm>
                            <a:prstGeom prst="rect">
                              <a:avLst/>
                            </a:prstGeom>
                          </a:spPr>
                          <a:txSp>
                            <a:txBody>
                              <a:bodyPr rtlCol="0" anchor="ctr"/>
                              <a:lstStyle>
                                <a:defPPr>
                                  <a:defRPr lang="de-DE"/>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de-DE" sz="1200" dirty="0" smtClean="0"/>
                                  <a:t>Add </a:t>
                                </a:r>
                                <a:r>
                                  <a:rPr lang="de-DE" sz="1200" dirty="0" err="1" smtClean="0"/>
                                  <a:t>Specimen</a:t>
                                </a:r>
                                <a:endParaRPr lang="de-DE" sz="1200" dirty="0"/>
                              </a:p>
                            </a:txBody>
                            <a:useSpRect/>
                          </a:txSp>
                          <a:style>
                            <a:lnRef idx="1">
                              <a:schemeClr val="accent1"/>
                            </a:lnRef>
                            <a:fillRef idx="2">
                              <a:schemeClr val="accent1"/>
                            </a:fillRef>
                            <a:effectRef idx="1">
                              <a:schemeClr val="accent1"/>
                            </a:effectRef>
                            <a:fontRef idx="minor">
                              <a:schemeClr val="dk1"/>
                            </a:fontRef>
                          </a:style>
                        </a:sp>
                        <a:cxnSp>
                          <a:nvCxnSpPr>
                            <a:cNvPr id="24" name="Gerade Verbindung mit Pfeil 17"/>
                            <a:cNvCxnSpPr/>
                          </a:nvCxnSpPr>
                          <a:spPr>
                            <a:xfrm flipV="1">
                              <a:off x="1547664" y="4653136"/>
                              <a:ext cx="0" cy="936104"/>
                            </a:xfrm>
                            <a:prstGeom prst="straightConnector1">
                              <a:avLst/>
                            </a:prstGeom>
                            <a:ln w="38100">
                              <a:solidFill>
                                <a:schemeClr val="bg2"/>
                              </a:solidFill>
                              <a:tailEnd type="arrow"/>
                            </a:ln>
                            <a:effectLst/>
                          </a:spPr>
                          <a:style>
                            <a:lnRef idx="2">
                              <a:schemeClr val="dk1"/>
                            </a:lnRef>
                            <a:fillRef idx="0">
                              <a:schemeClr val="dk1"/>
                            </a:fillRef>
                            <a:effectRef idx="1">
                              <a:schemeClr val="dk1"/>
                            </a:effectRef>
                            <a:fontRef idx="minor">
                              <a:schemeClr val="tx1"/>
                            </a:fontRef>
                          </a:style>
                        </a:cxnSp>
                      </a:grpSp>
                    </a:grpSp>
                    <a:grpSp>
                      <a:nvGrpSpPr>
                        <a:cNvPr id="4" name="Gruppieren 25"/>
                        <a:cNvGrpSpPr/>
                      </a:nvGrpSpPr>
                      <a:grpSpPr>
                        <a:xfrm>
                          <a:off x="3275856" y="908720"/>
                          <a:ext cx="2232248" cy="5184576"/>
                          <a:chOff x="3275856" y="908720"/>
                          <a:chExt cx="2232248" cy="5184576"/>
                        </a:xfrm>
                      </a:grpSpPr>
                      <a:pic>
                        <a:nvPicPr>
                          <a:cNvPr id="15" name="Picture 3"/>
                          <a:cNvPicPr>
                            <a:picLocks noChangeAspect="1" noChangeArrowheads="1"/>
                          </a:cNvPicPr>
                        </a:nvPicPr>
                        <a:blipFill>
                          <a:blip r:embed="rId15" cstate="print"/>
                          <a:srcRect/>
                          <a:stretch>
                            <a:fillRect/>
                          </a:stretch>
                        </a:blipFill>
                        <a:spPr bwMode="auto">
                          <a:xfrm>
                            <a:off x="3419872" y="1556792"/>
                            <a:ext cx="2056658" cy="3816424"/>
                          </a:xfrm>
                          <a:prstGeom prst="rect">
                            <a:avLst/>
                          </a:prstGeom>
                          <a:noFill/>
                          <a:ln w="9525">
                            <a:noFill/>
                            <a:miter lim="800000"/>
                            <a:headEnd/>
                            <a:tailEnd/>
                          </a:ln>
                        </a:spPr>
                      </a:pic>
                      <a:sp>
                        <a:nvSpPr>
                          <a:cNvPr id="16" name="Rechteck 15"/>
                          <a:cNvSpPr/>
                        </a:nvSpPr>
                        <a:spPr>
                          <a:xfrm>
                            <a:off x="3275856" y="908720"/>
                            <a:ext cx="2160240" cy="504056"/>
                          </a:xfrm>
                          <a:prstGeom prst="rect">
                            <a:avLst/>
                          </a:prstGeom>
                        </a:spPr>
                        <a:txSp>
                          <a:txBody>
                            <a:bodyPr rtlCol="0" anchor="ctr"/>
                            <a:lstStyle>
                              <a:defPPr>
                                <a:defRPr lang="de-DE"/>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de-DE" sz="1200" dirty="0" smtClean="0"/>
                                <a:t>Pivot: </a:t>
                              </a:r>
                              <a:r>
                                <a:rPr lang="de-DE" sz="1200" dirty="0" err="1" smtClean="0"/>
                                <a:t>Descriptions</a:t>
                              </a:r>
                              <a:endParaRPr lang="de-DE" sz="1200" dirty="0"/>
                            </a:p>
                          </a:txBody>
                          <a:useSpRect/>
                        </a:txSp>
                        <a:style>
                          <a:lnRef idx="1">
                            <a:schemeClr val="accent1"/>
                          </a:lnRef>
                          <a:fillRef idx="2">
                            <a:schemeClr val="accent1"/>
                          </a:fillRef>
                          <a:effectRef idx="1">
                            <a:schemeClr val="accent1"/>
                          </a:effectRef>
                          <a:fontRef idx="minor">
                            <a:schemeClr val="dk1"/>
                          </a:fontRef>
                        </a:style>
                      </a:sp>
                      <a:grpSp>
                        <a:nvGrpSpPr>
                          <a:cNvPr id="17" name="Gruppieren 22"/>
                          <a:cNvGrpSpPr/>
                        </a:nvGrpSpPr>
                        <a:grpSpPr>
                          <a:xfrm>
                            <a:off x="3347864" y="4653136"/>
                            <a:ext cx="2160240" cy="1440160"/>
                            <a:chOff x="3347864" y="4653136"/>
                            <a:chExt cx="2160240" cy="1440160"/>
                          </a:xfrm>
                        </a:grpSpPr>
                        <a:sp>
                          <a:nvSpPr>
                            <a:cNvPr id="18" name="Rechteck 17"/>
                            <a:cNvSpPr/>
                          </a:nvSpPr>
                          <a:spPr>
                            <a:xfrm>
                              <a:off x="3347864" y="5589240"/>
                              <a:ext cx="2160240" cy="504056"/>
                            </a:xfrm>
                            <a:prstGeom prst="rect">
                              <a:avLst/>
                            </a:prstGeom>
                          </a:spPr>
                          <a:txSp>
                            <a:txBody>
                              <a:bodyPr rtlCol="0" anchor="ctr"/>
                              <a:lstStyle>
                                <a:defPPr>
                                  <a:defRPr lang="de-DE"/>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de-DE" sz="1200" dirty="0" smtClean="0"/>
                                  <a:t>Add Description</a:t>
                                </a:r>
                                <a:endParaRPr lang="de-DE" sz="1200" dirty="0"/>
                              </a:p>
                            </a:txBody>
                            <a:useSpRect/>
                          </a:txSp>
                          <a:style>
                            <a:lnRef idx="1">
                              <a:schemeClr val="accent1"/>
                            </a:lnRef>
                            <a:fillRef idx="2">
                              <a:schemeClr val="accent1"/>
                            </a:fillRef>
                            <a:effectRef idx="1">
                              <a:schemeClr val="accent1"/>
                            </a:effectRef>
                            <a:fontRef idx="minor">
                              <a:schemeClr val="dk1"/>
                            </a:fontRef>
                          </a:style>
                        </a:sp>
                        <a:cxnSp>
                          <a:nvCxnSpPr>
                            <a:cNvPr id="19" name="Gerade Verbindung mit Pfeil 18"/>
                            <a:cNvCxnSpPr/>
                          </a:nvCxnSpPr>
                          <a:spPr>
                            <a:xfrm flipV="1">
                              <a:off x="4283968" y="4653136"/>
                              <a:ext cx="0" cy="936104"/>
                            </a:xfrm>
                            <a:prstGeom prst="straightConnector1">
                              <a:avLst/>
                            </a:prstGeom>
                            <a:ln w="38100">
                              <a:solidFill>
                                <a:schemeClr val="bg2"/>
                              </a:solidFill>
                              <a:tailEnd type="arrow"/>
                            </a:ln>
                            <a:effectLst/>
                          </a:spPr>
                          <a:style>
                            <a:lnRef idx="2">
                              <a:schemeClr val="dk1"/>
                            </a:lnRef>
                            <a:fillRef idx="0">
                              <a:schemeClr val="dk1"/>
                            </a:fillRef>
                            <a:effectRef idx="1">
                              <a:schemeClr val="dk1"/>
                            </a:effectRef>
                            <a:fontRef idx="minor">
                              <a:schemeClr val="tx1"/>
                            </a:fontRef>
                          </a:style>
                        </a:cxnSp>
                      </a:grpSp>
                    </a:grpSp>
                    <a:grpSp>
                      <a:nvGrpSpPr>
                        <a:cNvPr id="5" name="Gruppieren 26"/>
                        <a:cNvGrpSpPr/>
                      </a:nvGrpSpPr>
                      <a:grpSpPr>
                        <a:xfrm>
                          <a:off x="5940152" y="908720"/>
                          <a:ext cx="2232248" cy="5184576"/>
                          <a:chOff x="5940152" y="908720"/>
                          <a:chExt cx="2232248" cy="5184576"/>
                        </a:xfrm>
                      </a:grpSpPr>
                      <a:pic>
                        <a:nvPicPr>
                          <a:cNvPr id="10" name="Picture 4"/>
                          <a:cNvPicPr>
                            <a:picLocks noChangeAspect="1" noChangeArrowheads="1"/>
                          </a:cNvPicPr>
                        </a:nvPicPr>
                        <a:blipFill>
                          <a:blip r:embed="rId16" cstate="print"/>
                          <a:srcRect/>
                          <a:stretch>
                            <a:fillRect/>
                          </a:stretch>
                        </a:blipFill>
                        <a:spPr bwMode="auto">
                          <a:xfrm>
                            <a:off x="6084168" y="1484784"/>
                            <a:ext cx="2069124" cy="3888432"/>
                          </a:xfrm>
                          <a:prstGeom prst="rect">
                            <a:avLst/>
                          </a:prstGeom>
                          <a:noFill/>
                          <a:ln w="9525">
                            <a:noFill/>
                            <a:miter lim="800000"/>
                            <a:headEnd/>
                            <a:tailEnd/>
                          </a:ln>
                        </a:spPr>
                      </a:pic>
                      <a:sp>
                        <a:nvSpPr>
                          <a:cNvPr id="11" name="Rechteck 10"/>
                          <a:cNvSpPr/>
                        </a:nvSpPr>
                        <a:spPr>
                          <a:xfrm>
                            <a:off x="5940152" y="908720"/>
                            <a:ext cx="2160240" cy="504056"/>
                          </a:xfrm>
                          <a:prstGeom prst="rect">
                            <a:avLst/>
                          </a:prstGeom>
                        </a:spPr>
                        <a:txSp>
                          <a:txBody>
                            <a:bodyPr rtlCol="0" anchor="ctr"/>
                            <a:lstStyle>
                              <a:defPPr>
                                <a:defRPr lang="de-DE"/>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de-DE" sz="1200" dirty="0" smtClean="0"/>
                                <a:t>Pivot: Multimedia</a:t>
                              </a:r>
                              <a:endParaRPr lang="de-DE" sz="1200" dirty="0"/>
                            </a:p>
                          </a:txBody>
                          <a:useSpRect/>
                        </a:txSp>
                        <a:style>
                          <a:lnRef idx="1">
                            <a:schemeClr val="accent1"/>
                          </a:lnRef>
                          <a:fillRef idx="2">
                            <a:schemeClr val="accent1"/>
                          </a:fillRef>
                          <a:effectRef idx="1">
                            <a:schemeClr val="accent1"/>
                          </a:effectRef>
                          <a:fontRef idx="minor">
                            <a:schemeClr val="dk1"/>
                          </a:fontRef>
                        </a:style>
                      </a:sp>
                      <a:grpSp>
                        <a:nvGrpSpPr>
                          <a:cNvPr id="8" name="Gruppieren 23"/>
                          <a:cNvGrpSpPr/>
                        </a:nvGrpSpPr>
                        <a:grpSpPr>
                          <a:xfrm>
                            <a:off x="6012160" y="4653136"/>
                            <a:ext cx="2160240" cy="1440160"/>
                            <a:chOff x="6012160" y="4653136"/>
                            <a:chExt cx="2160240" cy="1440160"/>
                          </a:xfrm>
                        </a:grpSpPr>
                        <a:sp>
                          <a:nvSpPr>
                            <a:cNvPr id="13" name="Rechteck 12"/>
                            <a:cNvSpPr/>
                          </a:nvSpPr>
                          <a:spPr>
                            <a:xfrm>
                              <a:off x="6012160" y="5589240"/>
                              <a:ext cx="2160240" cy="504056"/>
                            </a:xfrm>
                            <a:prstGeom prst="rect">
                              <a:avLst/>
                            </a:prstGeom>
                          </a:spPr>
                          <a:txSp>
                            <a:txBody>
                              <a:bodyPr rtlCol="0" anchor="ctr"/>
                              <a:lstStyle>
                                <a:defPPr>
                                  <a:defRPr lang="de-DE"/>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de-DE" sz="1200" dirty="0" smtClean="0"/>
                                  <a:t>Add Multimedia</a:t>
                                </a:r>
                                <a:endParaRPr lang="de-DE" sz="1200" dirty="0"/>
                              </a:p>
                            </a:txBody>
                            <a:useSpRect/>
                          </a:txSp>
                          <a:style>
                            <a:lnRef idx="1">
                              <a:schemeClr val="accent1"/>
                            </a:lnRef>
                            <a:fillRef idx="2">
                              <a:schemeClr val="accent1"/>
                            </a:fillRef>
                            <a:effectRef idx="1">
                              <a:schemeClr val="accent1"/>
                            </a:effectRef>
                            <a:fontRef idx="minor">
                              <a:schemeClr val="dk1"/>
                            </a:fontRef>
                          </a:style>
                        </a:sp>
                        <a:cxnSp>
                          <a:nvCxnSpPr>
                            <a:cNvPr id="14" name="Gerade Verbindung mit Pfeil 13"/>
                            <a:cNvCxnSpPr/>
                          </a:nvCxnSpPr>
                          <a:spPr>
                            <a:xfrm flipV="1">
                              <a:off x="6978492" y="4653136"/>
                              <a:ext cx="0" cy="936104"/>
                            </a:xfrm>
                            <a:prstGeom prst="straightConnector1">
                              <a:avLst/>
                            </a:prstGeom>
                            <a:ln w="38100">
                              <a:solidFill>
                                <a:schemeClr val="bg2"/>
                              </a:solidFill>
                              <a:tailEnd type="arrow"/>
                            </a:ln>
                            <a:effectLst/>
                          </a:spPr>
                          <a:style>
                            <a:lnRef idx="2">
                              <a:schemeClr val="dk1"/>
                            </a:lnRef>
                            <a:fillRef idx="0">
                              <a:schemeClr val="dk1"/>
                            </a:fillRef>
                            <a:effectRef idx="1">
                              <a:schemeClr val="dk1"/>
                            </a:effectRef>
                            <a:fontRef idx="minor">
                              <a:schemeClr val="tx1"/>
                            </a:fontRef>
                          </a:style>
                        </a:cxnSp>
                      </a:grpSp>
                    </a:grpSp>
                  </a:grpSp>
                </lc:lockedCanvas>
              </a:graphicData>
            </a:graphic>
          </wp:inline>
        </w:drawing>
      </w:r>
    </w:p>
    <w:p w:rsidR="00E20679" w:rsidRDefault="00E20679" w:rsidP="00E20679">
      <w:r>
        <w:t>Diese Views zeigen eine der folgenden Hauptklassen aus DiversityCollection an:</w:t>
      </w:r>
    </w:p>
    <w:p w:rsidR="00E20679" w:rsidRDefault="00E20679" w:rsidP="00E20679">
      <w:pPr>
        <w:pStyle w:val="Listenabsatz"/>
        <w:numPr>
          <w:ilvl w:val="0"/>
          <w:numId w:val="7"/>
        </w:numPr>
      </w:pPr>
      <w:r>
        <w:t>EventSeries</w:t>
      </w:r>
    </w:p>
    <w:p w:rsidR="00E20679" w:rsidRDefault="00E20679" w:rsidP="00E20679">
      <w:pPr>
        <w:pStyle w:val="Listenabsatz"/>
        <w:numPr>
          <w:ilvl w:val="0"/>
          <w:numId w:val="7"/>
        </w:numPr>
      </w:pPr>
      <w:r>
        <w:t>Event</w:t>
      </w:r>
    </w:p>
    <w:p w:rsidR="00E20679" w:rsidRDefault="00E20679" w:rsidP="00E20679">
      <w:pPr>
        <w:pStyle w:val="Listenabsatz"/>
        <w:numPr>
          <w:ilvl w:val="0"/>
          <w:numId w:val="7"/>
        </w:numPr>
      </w:pPr>
      <w:r>
        <w:t>Specimen</w:t>
      </w:r>
    </w:p>
    <w:p w:rsidR="00E20679" w:rsidRDefault="00E20679" w:rsidP="00E20679">
      <w:pPr>
        <w:pStyle w:val="Listenabsatz"/>
        <w:numPr>
          <w:ilvl w:val="0"/>
          <w:numId w:val="7"/>
        </w:numPr>
      </w:pPr>
      <w:r>
        <w:t>IdentificationUnit</w:t>
      </w:r>
    </w:p>
    <w:p w:rsidR="00E20679" w:rsidRDefault="00E20679" w:rsidP="00E20679">
      <w:r>
        <w:t xml:space="preserve">In den über die Pivots erreichbaren Listen sind jeweils die untergeordneten Objekte des angezeigten Objekts erreichbar. Dabei </w:t>
      </w:r>
      <w:proofErr w:type="spellStart"/>
      <w:r>
        <w:t>enthät</w:t>
      </w:r>
      <w:proofErr w:type="spellEnd"/>
      <w:r>
        <w:t xml:space="preserve"> das 1. Pivot die untergeordnete Hauptklasse.  Das Pivot </w:t>
      </w:r>
      <w:proofErr w:type="spellStart"/>
      <w:r>
        <w:t>multimedia</w:t>
      </w:r>
      <w:proofErr w:type="spellEnd"/>
      <w:r>
        <w:t xml:space="preserve"> dem Objekt zugeordnete MultimediaObjekte und das Pivot </w:t>
      </w:r>
      <w:proofErr w:type="spellStart"/>
      <w:r>
        <w:t>descriptions</w:t>
      </w:r>
      <w:proofErr w:type="spellEnd"/>
      <w:r>
        <w:t xml:space="preserve"> alle anderen Objekte, die dem Objekt der Darstellung zugeordnet sind. Die Oberfläche kann auch während des Ladens der Listen bedient werden, was auf die Anwendung  des </w:t>
      </w:r>
      <w:proofErr w:type="spellStart"/>
      <w:r>
        <w:t>ReaciveUI</w:t>
      </w:r>
      <w:proofErr w:type="spellEnd"/>
      <w:r>
        <w:t xml:space="preserve">  zurückzuführen ist:  -&gt; </w:t>
      </w:r>
      <w:hyperlink r:id="rId17" w:history="1">
        <w:r w:rsidRPr="007B111D">
          <w:rPr>
            <w:rStyle w:val="Hyperlink"/>
          </w:rPr>
          <w:t>http://www.reactiveui.net/</w:t>
        </w:r>
      </w:hyperlink>
      <w:r>
        <w:t>.</w:t>
      </w:r>
      <w:r w:rsidR="00F7504F">
        <w:t xml:space="preserve"> Die Genau Technik ist im Dokument </w:t>
      </w:r>
      <w:r w:rsidR="00F7504F">
        <w:rPr>
          <w:i/>
        </w:rPr>
        <w:t>Views</w:t>
      </w:r>
      <w:r w:rsidR="00F7504F" w:rsidRPr="00F7504F">
        <w:rPr>
          <w:i/>
        </w:rPr>
        <w:t xml:space="preserve"> der Hauptklassen</w:t>
      </w:r>
      <w:r w:rsidR="00F7504F">
        <w:t xml:space="preserve"> beschrieben.</w:t>
      </w:r>
    </w:p>
    <w:p w:rsidR="004C597E" w:rsidRDefault="00E20679" w:rsidP="004C597E">
      <w:pPr>
        <w:pStyle w:val="berschrift2"/>
        <w:numPr>
          <w:ilvl w:val="0"/>
          <w:numId w:val="8"/>
        </w:numPr>
        <w:jc w:val="center"/>
      </w:pPr>
      <w:r>
        <w:t>Settings</w:t>
      </w:r>
    </w:p>
    <w:p w:rsidR="004C597E" w:rsidRPr="004C597E" w:rsidRDefault="004C597E" w:rsidP="004C597E"/>
    <w:p w:rsidR="004C597E" w:rsidRPr="004C597E" w:rsidRDefault="004C597E" w:rsidP="004C597E">
      <w:pPr>
        <w:jc w:val="center"/>
      </w:pPr>
      <w:r w:rsidRPr="004C597E">
        <w:lastRenderedPageBreak/>
        <w:drawing>
          <wp:inline distT="0" distB="0" distL="0" distR="0">
            <wp:extent cx="1219082" cy="2112776"/>
            <wp:effectExtent l="19050" t="0" r="118" b="0"/>
            <wp:docPr id="6" name="Bild 6"/>
            <wp:cNvGraphicFramePr/>
            <a:graphic xmlns:a="http://schemas.openxmlformats.org/drawingml/2006/main">
              <a:graphicData uri="http://schemas.openxmlformats.org/drawingml/2006/picture">
                <pic:pic xmlns:pic="http://schemas.openxmlformats.org/drawingml/2006/picture">
                  <pic:nvPicPr>
                    <pic:cNvPr id="84994" name="Picture 2"/>
                    <pic:cNvPicPr>
                      <a:picLocks noChangeAspect="1" noChangeArrowheads="1"/>
                    </pic:cNvPicPr>
                  </pic:nvPicPr>
                  <pic:blipFill>
                    <a:blip r:embed="rId18" cstate="print"/>
                    <a:srcRect/>
                    <a:stretch>
                      <a:fillRect/>
                    </a:stretch>
                  </pic:blipFill>
                  <pic:spPr bwMode="auto">
                    <a:xfrm>
                      <a:off x="0" y="0"/>
                      <a:ext cx="1218810" cy="2112305"/>
                    </a:xfrm>
                    <a:prstGeom prst="rect">
                      <a:avLst/>
                    </a:prstGeom>
                    <a:noFill/>
                    <a:ln w="9525">
                      <a:noFill/>
                      <a:miter lim="800000"/>
                      <a:headEnd/>
                      <a:tailEnd/>
                    </a:ln>
                  </pic:spPr>
                </pic:pic>
              </a:graphicData>
            </a:graphic>
          </wp:inline>
        </w:drawing>
      </w:r>
    </w:p>
    <w:p w:rsidR="004C597E" w:rsidRPr="004C597E" w:rsidRDefault="00BE44B8" w:rsidP="004C597E">
      <w:r>
        <w:t xml:space="preserve">Die </w:t>
      </w:r>
      <w:proofErr w:type="spellStart"/>
      <w:r>
        <w:t>Settingspage</w:t>
      </w:r>
      <w:proofErr w:type="spellEnd"/>
      <w:r>
        <w:t xml:space="preserve"> zeigt  die aktuellen Nutzereinstellungen an und ermöglicht die Navigation zur </w:t>
      </w:r>
      <w:proofErr w:type="spellStart"/>
      <w:r>
        <w:t>Taxonverwaltung</w:t>
      </w:r>
      <w:proofErr w:type="spellEnd"/>
      <w:r>
        <w:t xml:space="preserve"> und zur Synchronisation. Darüber hinaus können die Schlagworte aktualisiert werden und das Handy kann zur Neuinitialisierung zurückgesetzt werden.</w:t>
      </w:r>
    </w:p>
    <w:p w:rsidR="004C597E" w:rsidRDefault="004C597E" w:rsidP="004C597E">
      <w:pPr>
        <w:pStyle w:val="berschrift2"/>
        <w:numPr>
          <w:ilvl w:val="0"/>
          <w:numId w:val="8"/>
        </w:numPr>
        <w:jc w:val="center"/>
      </w:pPr>
      <w:r>
        <w:t>Initialisierung</w:t>
      </w:r>
    </w:p>
    <w:p w:rsidR="0016102B" w:rsidRPr="0016102B" w:rsidRDefault="0016102B" w:rsidP="0016102B"/>
    <w:p w:rsidR="0016102B" w:rsidRDefault="0016102B" w:rsidP="0016102B">
      <w:pPr>
        <w:jc w:val="center"/>
      </w:pPr>
      <w:r w:rsidRPr="0016102B">
        <w:drawing>
          <wp:inline distT="0" distB="0" distL="0" distR="0">
            <wp:extent cx="1382554" cy="2592288"/>
            <wp:effectExtent l="19050" t="0" r="8096" b="0"/>
            <wp:docPr id="10" name="Bild 10"/>
            <wp:cNvGraphicFramePr/>
            <a:graphic xmlns:a="http://schemas.openxmlformats.org/drawingml/2006/main">
              <a:graphicData uri="http://schemas.openxmlformats.org/drawingml/2006/picture">
                <pic:pic xmlns:pic="http://schemas.openxmlformats.org/drawingml/2006/picture">
                  <pic:nvPicPr>
                    <pic:cNvPr id="58370" name="Picture 2"/>
                    <pic:cNvPicPr>
                      <a:picLocks noChangeAspect="1" noChangeArrowheads="1"/>
                    </pic:cNvPicPr>
                  </pic:nvPicPr>
                  <pic:blipFill>
                    <a:blip r:embed="rId19" cstate="print"/>
                    <a:srcRect/>
                    <a:stretch>
                      <a:fillRect/>
                    </a:stretch>
                  </pic:blipFill>
                  <pic:spPr bwMode="auto">
                    <a:xfrm>
                      <a:off x="0" y="0"/>
                      <a:ext cx="1382554" cy="2592288"/>
                    </a:xfrm>
                    <a:prstGeom prst="rect">
                      <a:avLst/>
                    </a:prstGeom>
                    <a:noFill/>
                    <a:ln w="9525">
                      <a:noFill/>
                      <a:miter lim="800000"/>
                      <a:headEnd/>
                      <a:tailEnd/>
                    </a:ln>
                  </pic:spPr>
                </pic:pic>
              </a:graphicData>
            </a:graphic>
          </wp:inline>
        </w:drawing>
      </w:r>
    </w:p>
    <w:p w:rsidR="00BE44B8" w:rsidRPr="0016102B" w:rsidRDefault="00BE44B8" w:rsidP="00BE44B8">
      <w:r>
        <w:t xml:space="preserve">Setzt DiversityMobile für die erstmalige Benutzung auf. Hierbei wird eine Internetverbindung benötigt, da Daten aus dem Repository auf das Handy übertragen werden müssen. Im </w:t>
      </w:r>
      <w:proofErr w:type="spellStart"/>
      <w:r>
        <w:t>Rhamen</w:t>
      </w:r>
      <w:proofErr w:type="spellEnd"/>
      <w:r>
        <w:t xml:space="preserve"> der Initialisierung </w:t>
      </w:r>
      <w:proofErr w:type="gramStart"/>
      <w:r>
        <w:t>wird</w:t>
      </w:r>
      <w:proofErr w:type="gramEnd"/>
      <w:r>
        <w:t xml:space="preserve"> die Datenbank und das Projekt gewählt. Diese Verbindung kann ohne Löschen der Daten nicht aufgehoben werden siehe -&gt;</w:t>
      </w:r>
      <w:r w:rsidRPr="00BE44B8">
        <w:rPr>
          <w:i/>
        </w:rPr>
        <w:t>Nutzerverwaltung</w:t>
      </w:r>
      <w:r>
        <w:t>.</w:t>
      </w:r>
    </w:p>
    <w:p w:rsidR="00E20679" w:rsidRDefault="00E20679" w:rsidP="004C597E">
      <w:pPr>
        <w:pStyle w:val="berschrift2"/>
        <w:numPr>
          <w:ilvl w:val="0"/>
          <w:numId w:val="8"/>
        </w:numPr>
        <w:jc w:val="center"/>
      </w:pPr>
      <w:r>
        <w:t>Synchronisation</w:t>
      </w:r>
    </w:p>
    <w:p w:rsidR="004C597E" w:rsidRPr="004C597E" w:rsidRDefault="004C597E" w:rsidP="004C597E"/>
    <w:p w:rsidR="004C597E" w:rsidRDefault="004C597E" w:rsidP="004C597E">
      <w:pPr>
        <w:jc w:val="center"/>
      </w:pPr>
      <w:r w:rsidRPr="004C597E">
        <w:lastRenderedPageBreak/>
        <w:drawing>
          <wp:inline distT="0" distB="0" distL="0" distR="0">
            <wp:extent cx="1639364" cy="3032855"/>
            <wp:effectExtent l="19050" t="0" r="0" b="0"/>
            <wp:docPr id="8" name="Bild 8"/>
            <wp:cNvGraphicFramePr/>
            <a:graphic xmlns:a="http://schemas.openxmlformats.org/drawingml/2006/main">
              <a:graphicData uri="http://schemas.openxmlformats.org/drawingml/2006/picture">
                <pic:pic xmlns:pic="http://schemas.openxmlformats.org/drawingml/2006/picture">
                  <pic:nvPicPr>
                    <pic:cNvPr id="90114" name="Picture 2"/>
                    <pic:cNvPicPr>
                      <a:picLocks noChangeAspect="1" noChangeArrowheads="1"/>
                    </pic:cNvPicPr>
                  </pic:nvPicPr>
                  <pic:blipFill>
                    <a:blip r:embed="rId20" cstate="print"/>
                    <a:srcRect/>
                    <a:stretch>
                      <a:fillRect/>
                    </a:stretch>
                  </pic:blipFill>
                  <pic:spPr bwMode="auto">
                    <a:xfrm>
                      <a:off x="0" y="0"/>
                      <a:ext cx="1639677" cy="3033435"/>
                    </a:xfrm>
                    <a:prstGeom prst="rect">
                      <a:avLst/>
                    </a:prstGeom>
                    <a:noFill/>
                    <a:ln w="9525">
                      <a:noFill/>
                      <a:miter lim="800000"/>
                      <a:headEnd/>
                      <a:tailEnd/>
                    </a:ln>
                  </pic:spPr>
                </pic:pic>
              </a:graphicData>
            </a:graphic>
          </wp:inline>
        </w:drawing>
      </w:r>
    </w:p>
    <w:p w:rsidR="00BE44B8" w:rsidRPr="004C597E" w:rsidRDefault="00BE44B8" w:rsidP="00BE44B8">
      <w:r>
        <w:t xml:space="preserve">Im Synchronisationsmenü werden die Objekte, die aktuell synchronisiert werden können, als Liste angezeigt. Da die Synchronisation von MultimediaObjekten den Upload des verknüpften Objekts voraussetzt, werden diese erst nach dem entsprechenden Upload angezeigt siehe -&gt; </w:t>
      </w:r>
      <w:r w:rsidRPr="00BE44B8">
        <w:rPr>
          <w:i/>
        </w:rPr>
        <w:t>Synchronisation</w:t>
      </w:r>
      <w:r>
        <w:t>.</w:t>
      </w:r>
    </w:p>
    <w:p w:rsidR="00E20679" w:rsidRDefault="00E20679" w:rsidP="004C597E">
      <w:pPr>
        <w:pStyle w:val="berschrift2"/>
        <w:numPr>
          <w:ilvl w:val="0"/>
          <w:numId w:val="8"/>
        </w:numPr>
        <w:jc w:val="center"/>
      </w:pPr>
      <w:r>
        <w:t>Verwaltung von Taxa</w:t>
      </w:r>
    </w:p>
    <w:p w:rsidR="004C597E" w:rsidRPr="004C597E" w:rsidRDefault="004C597E" w:rsidP="004C597E"/>
    <w:p w:rsidR="004C597E" w:rsidRDefault="004C597E" w:rsidP="004C597E">
      <w:pPr>
        <w:jc w:val="center"/>
      </w:pPr>
      <w:r w:rsidRPr="004C597E">
        <w:drawing>
          <wp:inline distT="0" distB="0" distL="0" distR="0">
            <wp:extent cx="1639365" cy="2635290"/>
            <wp:effectExtent l="19050" t="0" r="0" b="0"/>
            <wp:docPr id="7" name="Bild 7"/>
            <wp:cNvGraphicFramePr/>
            <a:graphic xmlns:a="http://schemas.openxmlformats.org/drawingml/2006/main">
              <a:graphicData uri="http://schemas.openxmlformats.org/drawingml/2006/picture">
                <pic:pic xmlns:pic="http://schemas.openxmlformats.org/drawingml/2006/picture">
                  <pic:nvPicPr>
                    <pic:cNvPr id="87042" name="Picture 2"/>
                    <pic:cNvPicPr>
                      <a:picLocks noChangeAspect="1" noChangeArrowheads="1"/>
                    </pic:cNvPicPr>
                  </pic:nvPicPr>
                  <pic:blipFill>
                    <a:blip r:embed="rId21" cstate="print"/>
                    <a:srcRect/>
                    <a:stretch>
                      <a:fillRect/>
                    </a:stretch>
                  </pic:blipFill>
                  <pic:spPr bwMode="auto">
                    <a:xfrm>
                      <a:off x="0" y="0"/>
                      <a:ext cx="1638999" cy="2634701"/>
                    </a:xfrm>
                    <a:prstGeom prst="rect">
                      <a:avLst/>
                    </a:prstGeom>
                    <a:noFill/>
                    <a:ln w="9525">
                      <a:noFill/>
                      <a:miter lim="800000"/>
                      <a:headEnd/>
                      <a:tailEnd/>
                    </a:ln>
                  </pic:spPr>
                </pic:pic>
              </a:graphicData>
            </a:graphic>
          </wp:inline>
        </w:drawing>
      </w:r>
    </w:p>
    <w:p w:rsidR="00BE44B8" w:rsidRPr="004C597E" w:rsidRDefault="00A147A7" w:rsidP="00A147A7">
      <w:r>
        <w:t xml:space="preserve">Taxa werden über den </w:t>
      </w:r>
      <w:proofErr w:type="spellStart"/>
      <w:r w:rsidRPr="00A147A7">
        <w:rPr>
          <w:rFonts w:ascii="Consolas" w:hAnsi="Consolas" w:cs="Consolas"/>
        </w:rPr>
        <w:t>DiversityService</w:t>
      </w:r>
      <w:proofErr w:type="spellEnd"/>
      <w:r>
        <w:t xml:space="preserve"> vom SNSB in die Datenbank des Mobilgeräts heruntergeladen. Dabei wird zwischen persönlichen und öffentlichen Listen unterschieden. Die persönlichen Listen sind mit dem Profil des Benutzers verbunden, die öffentlichen sind für alle Nutzer gleich. Da mit dem SNSB kommuniziert wird, wird eine Internetverbindung benötigt.</w:t>
      </w:r>
    </w:p>
    <w:p w:rsidR="00E20679" w:rsidRDefault="00E20679" w:rsidP="004C597E">
      <w:pPr>
        <w:pStyle w:val="berschrift2"/>
        <w:numPr>
          <w:ilvl w:val="0"/>
          <w:numId w:val="8"/>
        </w:numPr>
        <w:jc w:val="center"/>
      </w:pPr>
      <w:r>
        <w:t>Kartenanzeige</w:t>
      </w:r>
    </w:p>
    <w:p w:rsidR="004C597E" w:rsidRPr="004C597E" w:rsidRDefault="004C597E" w:rsidP="004C597E"/>
    <w:p w:rsidR="004C597E" w:rsidRDefault="004C597E" w:rsidP="004C597E">
      <w:pPr>
        <w:jc w:val="center"/>
      </w:pPr>
      <w:r w:rsidRPr="004C597E">
        <w:lastRenderedPageBreak/>
        <w:drawing>
          <wp:inline distT="0" distB="0" distL="0" distR="0">
            <wp:extent cx="1512168" cy="2757483"/>
            <wp:effectExtent l="19050" t="0" r="0" b="0"/>
            <wp:docPr id="5" name="Bild 5"/>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2" cstate="print"/>
                    <a:srcRect/>
                    <a:stretch>
                      <a:fillRect/>
                    </a:stretch>
                  </pic:blipFill>
                  <pic:spPr bwMode="auto">
                    <a:xfrm>
                      <a:off x="0" y="0"/>
                      <a:ext cx="1512168" cy="2757483"/>
                    </a:xfrm>
                    <a:prstGeom prst="rect">
                      <a:avLst/>
                    </a:prstGeom>
                    <a:noFill/>
                    <a:ln w="9525">
                      <a:noFill/>
                      <a:miter lim="800000"/>
                      <a:headEnd/>
                      <a:tailEnd/>
                    </a:ln>
                  </pic:spPr>
                </pic:pic>
              </a:graphicData>
            </a:graphic>
          </wp:inline>
        </w:drawing>
      </w:r>
    </w:p>
    <w:p w:rsidR="00A147A7" w:rsidRPr="004C597E" w:rsidRDefault="00A147A7" w:rsidP="00A147A7">
      <w:r>
        <w:t xml:space="preserve">Anzeige von </w:t>
      </w:r>
      <w:proofErr w:type="spellStart"/>
      <w:r>
        <w:t>TK´s</w:t>
      </w:r>
      <w:proofErr w:type="spellEnd"/>
      <w:r>
        <w:t>. Diese werden vom SNSB zu Verfügung gestellt. Die Karten sind Georeferenziert und erlauben die Anzeige des eigenen Standorts und von georeferenzierten Objekten. Mit Gesten kann die Karte gezoomt und gesteuert werden.</w:t>
      </w:r>
    </w:p>
    <w:p w:rsidR="00E20679" w:rsidRDefault="00E20679" w:rsidP="004C597E">
      <w:pPr>
        <w:pStyle w:val="berschrift2"/>
        <w:numPr>
          <w:ilvl w:val="0"/>
          <w:numId w:val="8"/>
        </w:numPr>
        <w:jc w:val="center"/>
      </w:pPr>
      <w:r>
        <w:t>Kartenauswahl</w:t>
      </w:r>
    </w:p>
    <w:p w:rsidR="004C597E" w:rsidRPr="004C597E" w:rsidRDefault="004C597E" w:rsidP="004C597E"/>
    <w:p w:rsidR="004C597E" w:rsidRDefault="004C597E" w:rsidP="004C597E">
      <w:pPr>
        <w:jc w:val="center"/>
      </w:pPr>
      <w:r w:rsidRPr="004C597E">
        <w:drawing>
          <wp:inline distT="0" distB="0" distL="0" distR="0">
            <wp:extent cx="1434903" cy="2799995"/>
            <wp:effectExtent l="19050" t="0" r="0" b="0"/>
            <wp:docPr id="9" name="Bild 9"/>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3" cstate="print"/>
                    <a:srcRect/>
                    <a:stretch>
                      <a:fillRect/>
                    </a:stretch>
                  </pic:blipFill>
                  <pic:spPr bwMode="auto">
                    <a:xfrm>
                      <a:off x="0" y="0"/>
                      <a:ext cx="1436727" cy="2803554"/>
                    </a:xfrm>
                    <a:prstGeom prst="rect">
                      <a:avLst/>
                    </a:prstGeom>
                    <a:noFill/>
                    <a:ln w="9525">
                      <a:noFill/>
                      <a:miter lim="800000"/>
                      <a:headEnd/>
                      <a:tailEnd/>
                    </a:ln>
                  </pic:spPr>
                </pic:pic>
              </a:graphicData>
            </a:graphic>
          </wp:inline>
        </w:drawing>
      </w:r>
    </w:p>
    <w:p w:rsidR="00A147A7" w:rsidRPr="004C597E" w:rsidRDefault="00A147A7" w:rsidP="00A147A7">
      <w:r>
        <w:t xml:space="preserve">Auswahlmenü für die aktuelle anzuzeigende Karte. Diese wird anschließend im Speicher vorgehalten, so dass die </w:t>
      </w:r>
      <w:proofErr w:type="spellStart"/>
      <w:r>
        <w:t>Ladezeit</w:t>
      </w:r>
      <w:proofErr w:type="spellEnd"/>
      <w:r>
        <w:t xml:space="preserve"> verkürzt wird.</w:t>
      </w:r>
    </w:p>
    <w:p w:rsidR="004C597E" w:rsidRDefault="004C597E" w:rsidP="004C597E">
      <w:pPr>
        <w:pStyle w:val="berschrift2"/>
        <w:numPr>
          <w:ilvl w:val="0"/>
          <w:numId w:val="8"/>
        </w:numPr>
        <w:jc w:val="center"/>
      </w:pPr>
      <w:r>
        <w:lastRenderedPageBreak/>
        <w:t>Kartendownload</w:t>
      </w:r>
    </w:p>
    <w:p w:rsidR="004C597E" w:rsidRDefault="004C597E" w:rsidP="004C597E">
      <w:pPr>
        <w:jc w:val="center"/>
      </w:pPr>
      <w:r w:rsidRPr="004C597E">
        <w:drawing>
          <wp:inline distT="0" distB="0" distL="0" distR="0">
            <wp:extent cx="1512168" cy="2822976"/>
            <wp:effectExtent l="19050" t="0" r="0" b="0"/>
            <wp:docPr id="4" name="Bild 4"/>
            <wp:cNvGraphicFramePr/>
            <a:graphic xmlns:a="http://schemas.openxmlformats.org/drawingml/2006/main">
              <a:graphicData uri="http://schemas.openxmlformats.org/drawingml/2006/picture">
                <pic:pic xmlns:pic="http://schemas.openxmlformats.org/drawingml/2006/picture">
                  <pic:nvPicPr>
                    <pic:cNvPr id="80899" name="Picture 3"/>
                    <pic:cNvPicPr>
                      <a:picLocks noChangeAspect="1" noChangeArrowheads="1"/>
                    </pic:cNvPicPr>
                  </pic:nvPicPr>
                  <pic:blipFill>
                    <a:blip r:embed="rId24" cstate="print"/>
                    <a:srcRect/>
                    <a:stretch>
                      <a:fillRect/>
                    </a:stretch>
                  </pic:blipFill>
                  <pic:spPr bwMode="auto">
                    <a:xfrm>
                      <a:off x="0" y="0"/>
                      <a:ext cx="1512168" cy="2822976"/>
                    </a:xfrm>
                    <a:prstGeom prst="rect">
                      <a:avLst/>
                    </a:prstGeom>
                    <a:noFill/>
                    <a:ln w="9525">
                      <a:noFill/>
                      <a:miter lim="800000"/>
                      <a:headEnd/>
                      <a:tailEnd/>
                    </a:ln>
                  </pic:spPr>
                </pic:pic>
              </a:graphicData>
            </a:graphic>
          </wp:inline>
        </w:drawing>
      </w:r>
    </w:p>
    <w:p w:rsidR="00A147A7" w:rsidRPr="004C597E" w:rsidRDefault="00A147A7" w:rsidP="00A147A7">
      <w:r>
        <w:t xml:space="preserve">Kontakt des </w:t>
      </w:r>
      <w:proofErr w:type="spellStart"/>
      <w:r w:rsidRPr="00A147A7">
        <w:rPr>
          <w:rFonts w:ascii="Consolas" w:hAnsi="Consolas" w:cs="Consolas"/>
        </w:rPr>
        <w:t>MapMediaservice</w:t>
      </w:r>
      <w:proofErr w:type="spellEnd"/>
      <w:r>
        <w:t xml:space="preserve"> zum Download der </w:t>
      </w:r>
      <w:proofErr w:type="spellStart"/>
      <w:r>
        <w:t>URL´s</w:t>
      </w:r>
      <w:proofErr w:type="spellEnd"/>
      <w:r>
        <w:t xml:space="preserve"> der Karten. Diese werden durch einen Klick auf Add von der entsprechenden URL passwortgeschützt heruntergeladen und georeferenziert.</w:t>
      </w:r>
    </w:p>
    <w:p w:rsidR="00E20679" w:rsidRDefault="00E20679" w:rsidP="00BE44B8">
      <w:pPr>
        <w:pStyle w:val="berschrift2"/>
        <w:numPr>
          <w:ilvl w:val="0"/>
          <w:numId w:val="8"/>
        </w:numPr>
        <w:jc w:val="center"/>
      </w:pPr>
      <w:r>
        <w:t>Multimedia</w:t>
      </w:r>
    </w:p>
    <w:p w:rsidR="00BE44B8" w:rsidRDefault="00A147A7" w:rsidP="00BE44B8">
      <w:r>
        <w:t xml:space="preserve">Für die </w:t>
      </w:r>
      <w:proofErr w:type="spellStart"/>
      <w:r>
        <w:t>aufnahme</w:t>
      </w:r>
      <w:proofErr w:type="spellEnd"/>
      <w:r>
        <w:t xml:space="preserve"> und Anzeige von Multimediadaten stehen verschiedene Views zu Verfügung, die nach Art des MultimediaObjekts spezifisch sind. Arten von Multimediaobjekten sind:</w:t>
      </w:r>
    </w:p>
    <w:p w:rsidR="00A147A7" w:rsidRDefault="00A147A7" w:rsidP="00A147A7">
      <w:pPr>
        <w:pStyle w:val="Listenabsatz"/>
        <w:numPr>
          <w:ilvl w:val="0"/>
          <w:numId w:val="9"/>
        </w:numPr>
      </w:pPr>
      <w:r>
        <w:t>Audio</w:t>
      </w:r>
    </w:p>
    <w:p w:rsidR="00A147A7" w:rsidRDefault="00A147A7" w:rsidP="00A147A7">
      <w:pPr>
        <w:pStyle w:val="Listenabsatz"/>
        <w:numPr>
          <w:ilvl w:val="0"/>
          <w:numId w:val="9"/>
        </w:numPr>
      </w:pPr>
      <w:r>
        <w:t>Video</w:t>
      </w:r>
    </w:p>
    <w:p w:rsidR="00A147A7" w:rsidRDefault="00A147A7" w:rsidP="00A147A7">
      <w:pPr>
        <w:pStyle w:val="Listenabsatz"/>
        <w:numPr>
          <w:ilvl w:val="0"/>
          <w:numId w:val="9"/>
        </w:numPr>
      </w:pPr>
      <w:r>
        <w:t>Foto</w:t>
      </w:r>
    </w:p>
    <w:p w:rsidR="00A147A7" w:rsidRDefault="00A147A7" w:rsidP="00A147A7">
      <w:r>
        <w:t xml:space="preserve">Dies Aufnahme und Anzeige von Multimediadaten leiten zwar von derselben Basisklasse ab, müssen aber in Abhängigkeit vom Medium stärker differenziert werden. Die Grundlagen für die Anbindung von Multimedia finden sich auf: </w:t>
      </w:r>
      <w:hyperlink r:id="rId25" w:history="1">
        <w:r w:rsidRPr="007B111D">
          <w:rPr>
            <w:rStyle w:val="Hyperlink"/>
          </w:rPr>
          <w:t>http://msdn.microsoft.com/en-us/library/windowsphone/develop/ff431744%28v=vs.92%29.aspx</w:t>
        </w:r>
      </w:hyperlink>
    </w:p>
    <w:p w:rsidR="00A147A7" w:rsidRPr="00BE44B8" w:rsidRDefault="00A147A7" w:rsidP="00A147A7"/>
    <w:p w:rsidR="00A15FDB" w:rsidRDefault="004C597E" w:rsidP="004C597E">
      <w:pPr>
        <w:pStyle w:val="berschrift1"/>
      </w:pPr>
      <w:r>
        <w:t>Nutzerverwaltung</w:t>
      </w:r>
    </w:p>
    <w:p w:rsidR="009B7C7B" w:rsidRDefault="009B7C7B" w:rsidP="009B7C7B">
      <w:pPr>
        <w:pStyle w:val="berschrift1"/>
      </w:pPr>
      <w:r>
        <w:t>Multimedia</w:t>
      </w:r>
    </w:p>
    <w:p w:rsidR="009B7C7B" w:rsidRPr="009B7C7B" w:rsidRDefault="009B7C7B" w:rsidP="009B7C7B">
      <w:pPr>
        <w:pStyle w:val="berschrift1"/>
      </w:pPr>
      <w:r>
        <w:t>Georeferenzierung</w:t>
      </w:r>
    </w:p>
    <w:p w:rsidR="004C597E" w:rsidRPr="004C597E" w:rsidRDefault="004C597E" w:rsidP="004C597E"/>
    <w:p w:rsidR="007E7B17" w:rsidRPr="00E50EC8" w:rsidRDefault="007E7B17" w:rsidP="00927331"/>
    <w:sectPr w:rsidR="007E7B17" w:rsidRPr="00E50EC8" w:rsidSect="00A04C9F">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0CCE"/>
    <w:multiLevelType w:val="hybridMultilevel"/>
    <w:tmpl w:val="DB16932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4474A46"/>
    <w:multiLevelType w:val="hybridMultilevel"/>
    <w:tmpl w:val="48F67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B2FA6"/>
    <w:multiLevelType w:val="hybridMultilevel"/>
    <w:tmpl w:val="3BFEF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E115A0B"/>
    <w:multiLevelType w:val="hybridMultilevel"/>
    <w:tmpl w:val="5B2C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20D0E76"/>
    <w:multiLevelType w:val="hybridMultilevel"/>
    <w:tmpl w:val="ED3A7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27B4785"/>
    <w:multiLevelType w:val="hybridMultilevel"/>
    <w:tmpl w:val="DF960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6FB41577"/>
    <w:multiLevelType w:val="hybridMultilevel"/>
    <w:tmpl w:val="376ED0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40A78EC"/>
    <w:multiLevelType w:val="hybridMultilevel"/>
    <w:tmpl w:val="BA96B6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9866B88"/>
    <w:multiLevelType w:val="hybridMultilevel"/>
    <w:tmpl w:val="41802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6"/>
  </w:num>
  <w:num w:numId="5">
    <w:abstractNumId w:val="3"/>
  </w:num>
  <w:num w:numId="6">
    <w:abstractNumId w:val="8"/>
  </w:num>
  <w:num w:numId="7">
    <w:abstractNumId w:val="1"/>
  </w:num>
  <w:num w:numId="8">
    <w:abstractNumId w:val="7"/>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8"/>
  <w:proofState w:spelling="clean" w:grammar="clean"/>
  <w:defaultTabStop w:val="708"/>
  <w:hyphenationZone w:val="425"/>
  <w:characterSpacingControl w:val="doNotCompress"/>
  <w:compat/>
  <w:rsids>
    <w:rsidRoot w:val="00304F32"/>
    <w:rsid w:val="0016102B"/>
    <w:rsid w:val="00187DDF"/>
    <w:rsid w:val="00265085"/>
    <w:rsid w:val="00304F32"/>
    <w:rsid w:val="003250A8"/>
    <w:rsid w:val="003B5CA3"/>
    <w:rsid w:val="004C597E"/>
    <w:rsid w:val="005A0812"/>
    <w:rsid w:val="00664ADB"/>
    <w:rsid w:val="007E7B17"/>
    <w:rsid w:val="00927331"/>
    <w:rsid w:val="009B7C7B"/>
    <w:rsid w:val="00A04C9F"/>
    <w:rsid w:val="00A147A7"/>
    <w:rsid w:val="00A15FDB"/>
    <w:rsid w:val="00BE44B8"/>
    <w:rsid w:val="00C478EC"/>
    <w:rsid w:val="00CC5C4D"/>
    <w:rsid w:val="00E20679"/>
    <w:rsid w:val="00E50EC8"/>
    <w:rsid w:val="00EB6AC7"/>
    <w:rsid w:val="00EC28B6"/>
    <w:rsid w:val="00F20302"/>
    <w:rsid w:val="00F7504F"/>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4C9F"/>
  </w:style>
  <w:style w:type="paragraph" w:styleId="berschrift1">
    <w:name w:val="heading 1"/>
    <w:basedOn w:val="Standard"/>
    <w:next w:val="Standard"/>
    <w:link w:val="berschrift1Zchn"/>
    <w:uiPriority w:val="9"/>
    <w:qFormat/>
    <w:rsid w:val="00304F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250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E206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04F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04F3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304F32"/>
    <w:rPr>
      <w:color w:val="0000FF" w:themeColor="hyperlink"/>
      <w:u w:val="single"/>
    </w:rPr>
  </w:style>
  <w:style w:type="character" w:styleId="BesuchterHyperlink">
    <w:name w:val="FollowedHyperlink"/>
    <w:basedOn w:val="Absatz-Standardschriftart"/>
    <w:uiPriority w:val="99"/>
    <w:semiHidden/>
    <w:unhideWhenUsed/>
    <w:rsid w:val="00304F32"/>
    <w:rPr>
      <w:color w:val="800080" w:themeColor="followedHyperlink"/>
      <w:u w:val="single"/>
    </w:rPr>
  </w:style>
  <w:style w:type="character" w:customStyle="1" w:styleId="berschrift1Zchn">
    <w:name w:val="Überschrift 1 Zchn"/>
    <w:basedOn w:val="Absatz-Standardschriftart"/>
    <w:link w:val="berschrift1"/>
    <w:uiPriority w:val="9"/>
    <w:rsid w:val="00304F32"/>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304F32"/>
    <w:pPr>
      <w:ind w:left="720"/>
      <w:contextualSpacing/>
    </w:pPr>
  </w:style>
  <w:style w:type="paragraph" w:styleId="Sprechblasentext">
    <w:name w:val="Balloon Text"/>
    <w:basedOn w:val="Standard"/>
    <w:link w:val="SprechblasentextZchn"/>
    <w:uiPriority w:val="99"/>
    <w:semiHidden/>
    <w:unhideWhenUsed/>
    <w:rsid w:val="003250A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50A8"/>
    <w:rPr>
      <w:rFonts w:ascii="Tahoma" w:hAnsi="Tahoma" w:cs="Tahoma"/>
      <w:sz w:val="16"/>
      <w:szCs w:val="16"/>
    </w:rPr>
  </w:style>
  <w:style w:type="character" w:customStyle="1" w:styleId="berschrift2Zchn">
    <w:name w:val="Überschrift 2 Zchn"/>
    <w:basedOn w:val="Absatz-Standardschriftart"/>
    <w:link w:val="berschrift2"/>
    <w:uiPriority w:val="9"/>
    <w:rsid w:val="003250A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E20679"/>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sdn.microsoft.com/de-de/library/vstudio/bb386976.aspx" TargetMode="External"/><Relationship Id="rId13" Type="http://schemas.openxmlformats.org/officeDocument/2006/relationships/hyperlink" Target="http://www.reactiveui.net/"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toptensoftware.com/petapoco/" TargetMode="External"/><Relationship Id="rId12" Type="http://schemas.openxmlformats.org/officeDocument/2006/relationships/image" Target="media/image1.png"/><Relationship Id="rId17" Type="http://schemas.openxmlformats.org/officeDocument/2006/relationships/hyperlink" Target="http://www.reactiveui.net/" TargetMode="External"/><Relationship Id="rId25" Type="http://schemas.openxmlformats.org/officeDocument/2006/relationships/hyperlink" Target="http://msdn.microsoft.com/en-us/library/windowsphone/develop/ff431744%28v=vs.92%29.aspx"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msdn.microsoft.com/en-us/library/bb628652.aspx" TargetMode="External"/><Relationship Id="rId11" Type="http://schemas.openxmlformats.org/officeDocument/2006/relationships/hyperlink" Target="http://www.reactiveui.net/" TargetMode="External"/><Relationship Id="rId24" Type="http://schemas.openxmlformats.org/officeDocument/2006/relationships/image" Target="media/image11.png"/><Relationship Id="rId5" Type="http://schemas.openxmlformats.org/officeDocument/2006/relationships/hyperlink" Target="http://www.diversityworkbench.net" TargetMode="Externa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yperlink" Target="http://de.wikipedia.org/wiki/Microsoft_Silverligh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msdn.microsoft.com/de-de/magazine/dd419663.asp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1570</Words>
  <Characters>9893</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btn411</dc:creator>
  <cp:lastModifiedBy>btn411</cp:lastModifiedBy>
  <cp:revision>10</cp:revision>
  <dcterms:created xsi:type="dcterms:W3CDTF">2012-10-09T12:12:00Z</dcterms:created>
  <dcterms:modified xsi:type="dcterms:W3CDTF">2012-10-09T14:35:00Z</dcterms:modified>
</cp:coreProperties>
</file>