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32D6E" w14:textId="77777777" w:rsidR="00B37EE3" w:rsidRPr="009143EF" w:rsidRDefault="00000000">
      <w:pPr>
        <w:keepNext/>
        <w:spacing w:after="360"/>
        <w:jc w:val="center"/>
        <w:rPr>
          <w:rFonts w:ascii="Times New Roman" w:hAnsi="Times New Roman" w:cs="Times New Roman"/>
          <w:sz w:val="28"/>
          <w:szCs w:val="28"/>
        </w:rPr>
      </w:pPr>
      <w:r w:rsidRPr="009143EF">
        <w:rPr>
          <w:rFonts w:ascii="Times New Roman" w:hAnsi="Times New Roman" w:cs="Times New Roman"/>
          <w:b/>
          <w:sz w:val="28"/>
          <w:szCs w:val="28"/>
        </w:rPr>
        <w:t>Customer Campaign Engagement and Response Analytics Report: CE-3</w:t>
      </w:r>
    </w:p>
    <w:p w14:paraId="12F29D92"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t>1. Introduction</w:t>
      </w:r>
    </w:p>
    <w:p w14:paraId="00939DE5"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Most companies, at some point, realise that sending the exact same promotional email to every single person on their mailing list is a terrible use of money. Some customers are never going to click that link no matter how flashy the banner is, while others are practically waiting for the next deal. The whole idea behind targeted marketing is figuring out which group is which before you burn through your ad budget.</w:t>
      </w:r>
    </w:p>
    <w:p w14:paraId="3A1D01FB"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That is essentially what this report is about. The CE-3 notebook takes a real customer database — 2,240 people with their purchase histories, demographics, and past campaign responses — and tries to work out which handful of factors actually predict whether someone will say yes to a new offer. The column we are trying to predict is called Response (1 means they accepted, 0 means they did not). Getting from the messy raw data to those final predictors involved quite a few steps, and this write-up walks through all of them.</w:t>
      </w:r>
    </w:p>
    <w:p w14:paraId="05E1BEF9"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t>2. Problem Statement</w:t>
      </w:r>
    </w:p>
    <w:p w14:paraId="40680BA8"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The Business Side</w:t>
      </w:r>
    </w:p>
    <w:p w14:paraId="72940485"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 xml:space="preserve">Every time the marketing team contacts a customer there is a cost attached — staff time, email platform fees, sometimes even postage. On the flip side, every person who actually accepts the offer brings in revenue. </w:t>
      </w:r>
      <w:proofErr w:type="gramStart"/>
      <w:r w:rsidRPr="009143EF">
        <w:rPr>
          <w:rFonts w:ascii="Times New Roman" w:hAnsi="Times New Roman" w:cs="Times New Roman"/>
          <w:sz w:val="28"/>
          <w:szCs w:val="28"/>
        </w:rPr>
        <w:t>So</w:t>
      </w:r>
      <w:proofErr w:type="gramEnd"/>
      <w:r w:rsidRPr="009143EF">
        <w:rPr>
          <w:rFonts w:ascii="Times New Roman" w:hAnsi="Times New Roman" w:cs="Times New Roman"/>
          <w:sz w:val="28"/>
          <w:szCs w:val="28"/>
        </w:rPr>
        <w:t xml:space="preserve"> the company wants to spend its budget only on people who are likely to convert, rather than annoying the rest with messages they will just ignore (or worse, unsubscribe over).</w:t>
      </w:r>
    </w:p>
    <w:p w14:paraId="337E5003"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The Technical Side</w:t>
      </w:r>
    </w:p>
    <w:p w14:paraId="0FD059EF"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The raw dataset is not exactly ready to plug into a model. There are a few headaches we had to deal with first:</w:t>
      </w:r>
    </w:p>
    <w:p w14:paraId="4716ED4E"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24 customers have no Income value recorded at all.</w:t>
      </w:r>
    </w:p>
    <w:p w14:paraId="559AAE1D"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The Marital Status column has some bizarre entries — "YOLO" and "Absurd" showed up alongside the usual Single, Married, etc.</w:t>
      </w:r>
    </w:p>
    <w:p w14:paraId="2A167424"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lastRenderedPageBreak/>
        <w:t>A handful of very wealthy customers spent enormous amounts, creating spikes that would throw off any averages or model training.</w:t>
      </w:r>
    </w:p>
    <w:p w14:paraId="3A72483E"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There are over 30 columns in the dataset. We obviously do not need all of them, and keeping too many can actually hurt prediction accuracy.</w:t>
      </w:r>
    </w:p>
    <w:p w14:paraId="4D4A5115"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t>3. Methodology (Step by Step)</w:t>
      </w:r>
    </w:p>
    <w:p w14:paraId="3715754F"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The notebook follows a six-step cleaning and preparation pipeline. I will go through each one and explain why it was necessary.</w:t>
      </w:r>
    </w:p>
    <w:p w14:paraId="4D423A01"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Step 1 — Initial Sanity Check</w:t>
      </w:r>
    </w:p>
    <w:p w14:paraId="00B81E32"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Before doing anything fancy, we just looked at the shape of the data: 2,240 rows and 29 columns. A quick duplicate check came back clean — zero duplicates. This is basically the "open the hood and make sure nothing is on fire" step. It sets the baseline so we know how much cleaning we actually need to do.</w:t>
      </w:r>
    </w:p>
    <w:p w14:paraId="326B11DF"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Step 2 — Filling in Missing Incomes</w:t>
      </w:r>
    </w:p>
    <w:p w14:paraId="50996A35"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 xml:space="preserve">Those 24 missing Income values could have been dropped entirely, but that felt wasteful — 24 customers </w:t>
      </w:r>
      <w:proofErr w:type="gramStart"/>
      <w:r w:rsidRPr="009143EF">
        <w:rPr>
          <w:rFonts w:ascii="Times New Roman" w:hAnsi="Times New Roman" w:cs="Times New Roman"/>
          <w:sz w:val="28"/>
          <w:szCs w:val="28"/>
        </w:rPr>
        <w:t>is</w:t>
      </w:r>
      <w:proofErr w:type="gramEnd"/>
      <w:r w:rsidRPr="009143EF">
        <w:rPr>
          <w:rFonts w:ascii="Times New Roman" w:hAnsi="Times New Roman" w:cs="Times New Roman"/>
          <w:sz w:val="28"/>
          <w:szCs w:val="28"/>
        </w:rPr>
        <w:t xml:space="preserve"> not a lot, but why throw away perfectly good rows when we can estimate the gaps? We used scikit-learn's Iterative Imputer, which basically looks at a customer's spending habits, education level, and other attributes to make an educated guess at what their income probably is. It is much smarter than just plugging in the column average, because it considers the relationships between variables.</w:t>
      </w:r>
    </w:p>
    <w:p w14:paraId="288C6290"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Step 3 — Cleaning Up Marital Status Labels</w:t>
      </w:r>
    </w:p>
    <w:p w14:paraId="2CADEE4E"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This one was straightforward but important. "Alone" got mapped to "Single" (they mean the same thing for our purposes), and the nonsensical entries — "YOLO" and "Absurd" — got lumped into an "Other" bucket. Without this step, the model would treat each of those as a separate meaningful category, which would just add noise.</w:t>
      </w:r>
    </w:p>
    <w:p w14:paraId="279BDE76"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Step 4 — Capping Outliers with IQR</w:t>
      </w:r>
    </w:p>
    <w:p w14:paraId="21B20A38"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 xml:space="preserve">Some customers had spending figures that were wildly higher than everyone else's. Rather than deleting those rows outright (we would lose their other useful data), </w:t>
      </w:r>
      <w:r w:rsidRPr="009143EF">
        <w:rPr>
          <w:rFonts w:ascii="Times New Roman" w:hAnsi="Times New Roman" w:cs="Times New Roman"/>
          <w:sz w:val="28"/>
          <w:szCs w:val="28"/>
        </w:rPr>
        <w:lastRenderedPageBreak/>
        <w:t>we used the Interquartile Range method to set upper and lower caps. Anything above Q3 + 1.5×IQR got pulled down to that threshold. This keeps the overall distribution reasonable without losing data points entirely.</w:t>
      </w:r>
    </w:p>
    <w:p w14:paraId="463EC668"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Step 5 — Dealing with Skewness</w:t>
      </w:r>
    </w:p>
    <w:p w14:paraId="714E693B"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Even after capping, several spending and income columns were heavily right-skewed — lots of low values bunched together with a long tail stretching to the right. We applied a log transformation (np.log1p, to be exact, so zero values do not cause problems) to compress that tail and pull the distribution closer to a bell curve. Models tend to learn patterns more reliably when the data is not lopsided like that.</w:t>
      </w:r>
    </w:p>
    <w:p w14:paraId="6827FA63"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Step 6 — Building New Features</w:t>
      </w:r>
    </w:p>
    <w:p w14:paraId="60BD8ED7"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This is where we created a few columns that do not exist in the original data but carry a lot of business meaning:</w:t>
      </w:r>
    </w:p>
    <w:p w14:paraId="631DB701"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Age — calculated as 2026 minus the customer's birth year.</w:t>
      </w:r>
    </w:p>
    <w:p w14:paraId="06028698"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Total Spending — just the sum of everything they bought across all six product categories (wines, fruits, meat, fish, sweets, gold).</w:t>
      </w:r>
    </w:p>
    <w:p w14:paraId="29F237E8"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Family Size — kids at home plus teens at home plus one (for the customer themselves).</w:t>
      </w:r>
    </w:p>
    <w:p w14:paraId="4C578C15"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Customer Tenure — how many years since they first registered, based on their enrolment date.</w:t>
      </w:r>
    </w:p>
    <w:p w14:paraId="55A5E26F"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These derived columns condense raw data into metrics that are more directly useful. For instance, knowing someone's total spending in one number is more practical than looking at six separate product columns individually.</w:t>
      </w:r>
    </w:p>
    <w:p w14:paraId="57ECB03D"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t>4. Dataset Description</w:t>
      </w:r>
    </w:p>
    <w:p w14:paraId="2E31EDED"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The dataset covers 2,240 customers and organises their information into five broad areas:</w:t>
      </w:r>
    </w:p>
    <w:p w14:paraId="4C8167CD"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Demographics: </w:t>
      </w:r>
      <w:r w:rsidRPr="009143EF">
        <w:rPr>
          <w:rFonts w:ascii="Times New Roman" w:hAnsi="Times New Roman" w:cs="Times New Roman"/>
          <w:sz w:val="28"/>
          <w:szCs w:val="28"/>
        </w:rPr>
        <w:t>age, education level, marital status, household income, and the date they signed up.</w:t>
      </w:r>
    </w:p>
    <w:p w14:paraId="1B7800FC"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Family structure: </w:t>
      </w:r>
      <w:r w:rsidRPr="009143EF">
        <w:rPr>
          <w:rFonts w:ascii="Times New Roman" w:hAnsi="Times New Roman" w:cs="Times New Roman"/>
          <w:sz w:val="28"/>
          <w:szCs w:val="28"/>
        </w:rPr>
        <w:t>how many kids and teenagers live in the household.</w:t>
      </w:r>
    </w:p>
    <w:p w14:paraId="65CA9165"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lastRenderedPageBreak/>
        <w:t xml:space="preserve">Product purchases (last two years): </w:t>
      </w:r>
      <w:r w:rsidRPr="009143EF">
        <w:rPr>
          <w:rFonts w:ascii="Times New Roman" w:hAnsi="Times New Roman" w:cs="Times New Roman"/>
          <w:sz w:val="28"/>
          <w:szCs w:val="28"/>
        </w:rPr>
        <w:t>dollar amounts spent on wines, fruits, meat, fish, sweets, and gold products.</w:t>
      </w:r>
    </w:p>
    <w:p w14:paraId="2738C555"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Purchase channels: </w:t>
      </w:r>
      <w:r w:rsidRPr="009143EF">
        <w:rPr>
          <w:rFonts w:ascii="Times New Roman" w:hAnsi="Times New Roman" w:cs="Times New Roman"/>
          <w:sz w:val="28"/>
          <w:szCs w:val="28"/>
        </w:rPr>
        <w:t>counts of purchases made through the website, through catalogs, in physical stores, or using discount deals.</w:t>
      </w:r>
    </w:p>
    <w:p w14:paraId="47F70819"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Campaign history: </w:t>
      </w:r>
      <w:r w:rsidRPr="009143EF">
        <w:rPr>
          <w:rFonts w:ascii="Times New Roman" w:hAnsi="Times New Roman" w:cs="Times New Roman"/>
          <w:sz w:val="28"/>
          <w:szCs w:val="28"/>
        </w:rPr>
        <w:t>binary flags showing whether the customer accepted offers in each of the five previous marketing campaigns.</w:t>
      </w:r>
    </w:p>
    <w:p w14:paraId="6AFE8617"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The target variable is Response — did the customer accept the newest campaign or not? Out of the full dataset, only about 14.91% said yes, which means we are dealing with a fairly imbalanced target. That is normal for marketing data though; most people ignore most promotions.</w:t>
      </w:r>
    </w:p>
    <w:p w14:paraId="416B067C"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t>5. Where the Data Comes From</w:t>
      </w:r>
    </w:p>
    <w:p w14:paraId="41E48CB4"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The data was pulled together from the kind of systems most mid-to-large retailers already have:</w:t>
      </w:r>
    </w:p>
    <w:p w14:paraId="77F69E11"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CRM databases — this is where customer profiles, birth years, and marital statuses get captured, usually when someone signs up for a loyalty card.</w:t>
      </w:r>
    </w:p>
    <w:p w14:paraId="4B1AF9B9"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POS and e-commerce servers — these record what people actually buy, both in brick-and-mortar stores and online.</w:t>
      </w:r>
    </w:p>
    <w:p w14:paraId="64EAF84F"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Web analytics — tracks how often each customer visits the company website.</w:t>
      </w:r>
    </w:p>
    <w:p w14:paraId="2544E131" w14:textId="77777777" w:rsidR="00B37EE3" w:rsidRPr="009143EF" w:rsidRDefault="00000000">
      <w:pPr>
        <w:pStyle w:val="ListBullet"/>
        <w:spacing w:after="80"/>
        <w:rPr>
          <w:rFonts w:ascii="Times New Roman" w:hAnsi="Times New Roman" w:cs="Times New Roman"/>
          <w:sz w:val="28"/>
          <w:szCs w:val="28"/>
        </w:rPr>
      </w:pPr>
      <w:r w:rsidRPr="009143EF">
        <w:rPr>
          <w:rFonts w:ascii="Times New Roman" w:hAnsi="Times New Roman" w:cs="Times New Roman"/>
          <w:sz w:val="28"/>
          <w:szCs w:val="28"/>
        </w:rPr>
        <w:t>Marketing automation logs — records which campaign emails were sent, opened, and acted on.</w:t>
      </w:r>
    </w:p>
    <w:p w14:paraId="5E7FDD41"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One thing worth noting: all personally identifiable information like names and phone numbers was stripped out before analysis. Each customer is just an anonymous ID. This is standard practice for complying with data privacy regulations.</w:t>
      </w:r>
    </w:p>
    <w:p w14:paraId="6A57F940"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t>6. Key Analysis and Interpretations</w:t>
      </w:r>
    </w:p>
    <w:p w14:paraId="4C020901"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6.1 Product and Spending Patterns</w:t>
      </w:r>
    </w:p>
    <w:p w14:paraId="052055C4"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On average, each customer spent about $605.80 over the two-year window. But that number hides a pretty uneven split across categories.</w:t>
      </w:r>
    </w:p>
    <w:p w14:paraId="4486F0FB"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lastRenderedPageBreak/>
        <w:t>Wine dominates everything. The average customer spent $303.94 on wine alone, which works out to roughly half (50.17%) of total spending. Meat comes in second at $166.95, making up about 27.56%. Put those two together and you have got nearly 78% of all revenue coming from just two product lines. Everything else — fruits, fish, sweets, gold — is comparatively minor.</w:t>
      </w:r>
    </w:p>
    <w:p w14:paraId="07D7B08B"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From a business standpoint, this means wine and meat are the company's bread and butter (no pun intended). Any campaign that features these categories is probably going to resonate more than one pushing, say, sweets or gold products.</w:t>
      </w:r>
    </w:p>
    <w:p w14:paraId="789C726D"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6.2 Skewness and Outlier Situation</w:t>
      </w:r>
    </w:p>
    <w:p w14:paraId="24DEA6B3"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Before we touched anything, the spending columns were a mess in terms of distribution. Sweets spending alone had 248 outlier data points, and the Income column had a skewness score of 6.75 — that is extremely lopsided. After capping the extreme values at the IQR limits and running the log transformation, the distributions smoothed out considerably. It is not glamorous work, but skipping this step would have given the feature selection methods unreliable inputs to work with.</w:t>
      </w:r>
    </w:p>
    <w:p w14:paraId="0CADF879"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6.3 Feature Selection — Comparing Five Different Approaches</w:t>
      </w:r>
    </w:p>
    <w:p w14:paraId="0921EC76"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Here is where things get interesting. Instead of just picking one feature selection method and hoping for the best, the notebook ran five completely different techniques and then compared their outputs. The logic is simple: if multiple independent methods all agree that a particular column matters, we can be much more confident it is genuinely important and not just a statistical fluke.</w:t>
      </w:r>
    </w:p>
    <w:p w14:paraId="75792EAD"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Here is what each method picked:</w:t>
      </w:r>
    </w:p>
    <w:p w14:paraId="45008B73"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Forward Selection (wrapper): </w:t>
      </w:r>
      <w:r w:rsidRPr="009143EF">
        <w:rPr>
          <w:rFonts w:ascii="Times New Roman" w:hAnsi="Times New Roman" w:cs="Times New Roman"/>
          <w:sz w:val="28"/>
          <w:szCs w:val="28"/>
        </w:rPr>
        <w:t>starts with nothing and keeps adding the single most helpful column at each round. It settled on Teenhome, Recency, AcceptedCmp3, AcceptedCmp5, and AcceptedCmp1.</w:t>
      </w:r>
    </w:p>
    <w:p w14:paraId="40F28422"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Backward Elimination (wrapper): </w:t>
      </w:r>
      <w:r w:rsidRPr="009143EF">
        <w:rPr>
          <w:rFonts w:ascii="Times New Roman" w:hAnsi="Times New Roman" w:cs="Times New Roman"/>
          <w:sz w:val="28"/>
          <w:szCs w:val="28"/>
        </w:rPr>
        <w:t>starts with everything and keeps dropping the least useful column. It ended up with Recency, AcceptedCmp3, AcceptedCmp5, Marital_Status_Married, and Marital_Status_Together.</w:t>
      </w:r>
    </w:p>
    <w:p w14:paraId="32C3DF86"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lastRenderedPageBreak/>
        <w:t xml:space="preserve">Lasso Regularisation (embedded): </w:t>
      </w:r>
      <w:r w:rsidRPr="009143EF">
        <w:rPr>
          <w:rFonts w:ascii="Times New Roman" w:hAnsi="Times New Roman" w:cs="Times New Roman"/>
          <w:sz w:val="28"/>
          <w:szCs w:val="28"/>
        </w:rPr>
        <w:t>uses a penalty term during model training to shrink unimportant feature weights towards zero. It kept 19 features — a broader set spanning demographics, spending, and channels.</w:t>
      </w:r>
    </w:p>
    <w:p w14:paraId="1F62E2FC"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Information Gain (filter): </w:t>
      </w:r>
      <w:r w:rsidRPr="009143EF">
        <w:rPr>
          <w:rFonts w:ascii="Times New Roman" w:hAnsi="Times New Roman" w:cs="Times New Roman"/>
          <w:sz w:val="28"/>
          <w:szCs w:val="28"/>
        </w:rPr>
        <w:t>measures how much knowing a column's value reduces uncertainty about the target. Top five: MntMeatProducts, Income, AcceptedCmp3, Total_Spending, AcceptedCmp5.</w:t>
      </w:r>
    </w:p>
    <w:p w14:paraId="2FAAA614"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Fisher Score (filter): </w:t>
      </w:r>
      <w:r w:rsidRPr="009143EF">
        <w:rPr>
          <w:rFonts w:ascii="Times New Roman" w:hAnsi="Times New Roman" w:cs="Times New Roman"/>
          <w:sz w:val="28"/>
          <w:szCs w:val="28"/>
        </w:rPr>
        <w:t>looks at how well a column separates the yes-responders from the no-responders. Top five: Total_Spending, Marital_Status_Married, AcceptedCmp4, NumStorePurchases, AcceptedCmp5.</w:t>
      </w:r>
    </w:p>
    <w:p w14:paraId="40B22083"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6.4 The Final Four Features — and Why They Matter</w:t>
      </w:r>
    </w:p>
    <w:p w14:paraId="0C9613DD"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After laying all five results side by side, four features stood out as being selected by at least three out of the five methods. These are the ones we are most confident about, and they each tell a different part of the story.</w:t>
      </w:r>
    </w:p>
    <w:p w14:paraId="7484C9B1" w14:textId="77777777" w:rsidR="00B37EE3" w:rsidRPr="009143EF" w:rsidRDefault="00000000">
      <w:pPr>
        <w:keepNext/>
        <w:spacing w:before="200" w:after="120"/>
        <w:rPr>
          <w:rFonts w:ascii="Times New Roman" w:hAnsi="Times New Roman" w:cs="Times New Roman"/>
          <w:sz w:val="28"/>
          <w:szCs w:val="28"/>
        </w:rPr>
      </w:pPr>
      <w:r w:rsidRPr="009143EF">
        <w:rPr>
          <w:rFonts w:ascii="Times New Roman" w:hAnsi="Times New Roman" w:cs="Times New Roman"/>
          <w:b/>
          <w:sz w:val="28"/>
          <w:szCs w:val="28"/>
        </w:rPr>
        <w:t>AcceptedCmp5 — Did they respond to Campaign 5?</w:t>
      </w:r>
    </w:p>
    <w:p w14:paraId="253A8549"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Among people who responded to the current campaign, 27.54% had also accepted Campaign 5. Among non-responders, only 3.73% had. That means a Campaign 5 acceptor is roughly 7.3 times more likely to convert again. Campaign 5 seems to have attracted loyal, high-value customers — the kind who keep coming back.</w:t>
      </w:r>
    </w:p>
    <w:p w14:paraId="51181045" w14:textId="77777777" w:rsidR="00B37EE3" w:rsidRPr="009143EF" w:rsidRDefault="00000000">
      <w:pPr>
        <w:keepNext/>
        <w:spacing w:before="200" w:after="120"/>
        <w:rPr>
          <w:rFonts w:ascii="Times New Roman" w:hAnsi="Times New Roman" w:cs="Times New Roman"/>
          <w:sz w:val="28"/>
          <w:szCs w:val="28"/>
        </w:rPr>
      </w:pPr>
      <w:r w:rsidRPr="009143EF">
        <w:rPr>
          <w:rFonts w:ascii="Times New Roman" w:hAnsi="Times New Roman" w:cs="Times New Roman"/>
          <w:b/>
          <w:sz w:val="28"/>
          <w:szCs w:val="28"/>
        </w:rPr>
        <w:t>AcceptedCmp3 — Did they respond to Campaign 3?</w:t>
      </w:r>
    </w:p>
    <w:p w14:paraId="2334FD3C"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Similar pattern here. 23.05% of current responders had accepted Campaign 3, versus just 4.51% of non-responders. That is about a 5.1x difference. Campaign 3 apparently targeted deal-conscious shoppers, so accepting it signals someone who is price-sensitive but still engaged enough to act on offers.</w:t>
      </w:r>
    </w:p>
    <w:p w14:paraId="42E3BC4A" w14:textId="77777777" w:rsidR="00B37EE3" w:rsidRPr="009143EF" w:rsidRDefault="00000000">
      <w:pPr>
        <w:keepNext/>
        <w:spacing w:before="200" w:after="120"/>
        <w:rPr>
          <w:rFonts w:ascii="Times New Roman" w:hAnsi="Times New Roman" w:cs="Times New Roman"/>
          <w:sz w:val="28"/>
          <w:szCs w:val="28"/>
        </w:rPr>
      </w:pPr>
      <w:r w:rsidRPr="009143EF">
        <w:rPr>
          <w:rFonts w:ascii="Times New Roman" w:hAnsi="Times New Roman" w:cs="Times New Roman"/>
          <w:b/>
          <w:sz w:val="28"/>
          <w:szCs w:val="28"/>
        </w:rPr>
        <w:t>Recency — How recently did they last buy something?</w:t>
      </w:r>
    </w:p>
    <w:p w14:paraId="35BB4663"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 xml:space="preserve">Responders had purchased an average of 35.38 days ago. Non-responders averaged 51.51 days. </w:t>
      </w:r>
      <w:proofErr w:type="gramStart"/>
      <w:r w:rsidRPr="009143EF">
        <w:rPr>
          <w:rFonts w:ascii="Times New Roman" w:hAnsi="Times New Roman" w:cs="Times New Roman"/>
          <w:sz w:val="28"/>
          <w:szCs w:val="28"/>
        </w:rPr>
        <w:t>So</w:t>
      </w:r>
      <w:proofErr w:type="gramEnd"/>
      <w:r w:rsidRPr="009143EF">
        <w:rPr>
          <w:rFonts w:ascii="Times New Roman" w:hAnsi="Times New Roman" w:cs="Times New Roman"/>
          <w:sz w:val="28"/>
          <w:szCs w:val="28"/>
        </w:rPr>
        <w:t xml:space="preserve"> people who bought something in the last month or so are meaningfully more likely to respond to a new campaign. It makes intuitive sense — if someone is already in a "buying mood," they are easier to convert than someone who has gone quiet for two months.</w:t>
      </w:r>
    </w:p>
    <w:p w14:paraId="6C882632" w14:textId="77777777" w:rsidR="00B37EE3" w:rsidRPr="009143EF" w:rsidRDefault="00000000">
      <w:pPr>
        <w:keepNext/>
        <w:spacing w:before="200" w:after="120"/>
        <w:rPr>
          <w:rFonts w:ascii="Times New Roman" w:hAnsi="Times New Roman" w:cs="Times New Roman"/>
          <w:sz w:val="28"/>
          <w:szCs w:val="28"/>
        </w:rPr>
      </w:pPr>
      <w:r w:rsidRPr="009143EF">
        <w:rPr>
          <w:rFonts w:ascii="Times New Roman" w:hAnsi="Times New Roman" w:cs="Times New Roman"/>
          <w:b/>
          <w:sz w:val="28"/>
          <w:szCs w:val="28"/>
        </w:rPr>
        <w:lastRenderedPageBreak/>
        <w:t>Marital_Status_Married — Are they married?</w:t>
      </w:r>
    </w:p>
    <w:p w14:paraId="3E2E2B06"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This one is a bit counterintuitive. Only 29.34% of responders were married, compared to 40.19% of non-responders. In other words, married customers are actually about 27% less likely to respond. The probable explanation is household decision-making: married people often need to consult a partner before spending, which introduces friction. Single customers can just go ahead and buy on impulse.</w:t>
      </w:r>
    </w:p>
    <w:p w14:paraId="0C355D86"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 xml:space="preserve">One reassuring detail from the correlation analysis: these four features have virtually no correlation with each other (all Pearson coefficients under 0.10). </w:t>
      </w:r>
      <w:proofErr w:type="gramStart"/>
      <w:r w:rsidRPr="009143EF">
        <w:rPr>
          <w:rFonts w:ascii="Times New Roman" w:hAnsi="Times New Roman" w:cs="Times New Roman"/>
          <w:sz w:val="28"/>
          <w:szCs w:val="28"/>
        </w:rPr>
        <w:t>So</w:t>
      </w:r>
      <w:proofErr w:type="gramEnd"/>
      <w:r w:rsidRPr="009143EF">
        <w:rPr>
          <w:rFonts w:ascii="Times New Roman" w:hAnsi="Times New Roman" w:cs="Times New Roman"/>
          <w:sz w:val="28"/>
          <w:szCs w:val="28"/>
        </w:rPr>
        <w:t xml:space="preserve"> each one is capturing a genuinely different signal. There is no redundancy or overlap, which is exactly what you want when feeding features into a model.</w:t>
      </w:r>
    </w:p>
    <w:p w14:paraId="76519712"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t>7. Conclusion and Business Recommendations</w:t>
      </w:r>
    </w:p>
    <w:p w14:paraId="331D92FD"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What We Found</w:t>
      </w:r>
    </w:p>
    <w:p w14:paraId="109CBAB8"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You do not need to track thirty-plus variables to predict whether a customer will respond to a campaign. Four factors do most of the heavy lifting: whether they accepted Campaign 3, whether they accepted Campaign 5, how recently they made a purchase, and whether they are married. Everything else is either redundant or too noisy to rely on.</w:t>
      </w:r>
    </w:p>
    <w:p w14:paraId="67B3F145" w14:textId="77777777" w:rsidR="00B37EE3" w:rsidRPr="009143EF" w:rsidRDefault="00000000">
      <w:pPr>
        <w:keepNext/>
        <w:spacing w:before="280" w:after="120"/>
        <w:rPr>
          <w:rFonts w:ascii="Times New Roman" w:hAnsi="Times New Roman" w:cs="Times New Roman"/>
          <w:sz w:val="28"/>
          <w:szCs w:val="28"/>
        </w:rPr>
      </w:pPr>
      <w:r w:rsidRPr="009143EF">
        <w:rPr>
          <w:rFonts w:ascii="Times New Roman" w:hAnsi="Times New Roman" w:cs="Times New Roman"/>
          <w:b/>
          <w:sz w:val="28"/>
          <w:szCs w:val="28"/>
        </w:rPr>
        <w:t>What the Business Should Do About It</w:t>
      </w:r>
    </w:p>
    <w:p w14:paraId="7D3BC864"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1. Prioritise past campaign responders. </w:t>
      </w:r>
      <w:r w:rsidRPr="009143EF">
        <w:rPr>
          <w:rFonts w:ascii="Times New Roman" w:hAnsi="Times New Roman" w:cs="Times New Roman"/>
          <w:sz w:val="28"/>
          <w:szCs w:val="28"/>
        </w:rPr>
        <w:t>Customers who said yes to Campaign 3 or 5 convert at five to seven times the normal rate. These people should get first priority in any new campaign rollout — they are basically low-hanging fruit.</w:t>
      </w:r>
    </w:p>
    <w:p w14:paraId="7983ACD8"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2. Time your outreach around recent purchases. </w:t>
      </w:r>
      <w:r w:rsidRPr="009143EF">
        <w:rPr>
          <w:rFonts w:ascii="Times New Roman" w:hAnsi="Times New Roman" w:cs="Times New Roman"/>
          <w:sz w:val="28"/>
          <w:szCs w:val="28"/>
        </w:rPr>
        <w:t>If a customer bought something in the last 30 days, that is your window. Once they have been inactive for 60+ days, they probably need a different kind of message — maybe a win-back discount or a "we miss you" email — rather than a standard promotion.</w:t>
      </w:r>
    </w:p>
    <w:p w14:paraId="4B8AD8DF"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b/>
          <w:sz w:val="28"/>
          <w:szCs w:val="28"/>
        </w:rPr>
        <w:t xml:space="preserve">3. Tailor messaging by household type. </w:t>
      </w:r>
      <w:r w:rsidRPr="009143EF">
        <w:rPr>
          <w:rFonts w:ascii="Times New Roman" w:hAnsi="Times New Roman" w:cs="Times New Roman"/>
          <w:sz w:val="28"/>
          <w:szCs w:val="28"/>
        </w:rPr>
        <w:t>Single customers respond well to personalised, individual-focused offers. For married customers, try family-oriented messaging or multi-buy deals that justify the purchase as a household decision, not just an individual splurge.</w:t>
      </w:r>
    </w:p>
    <w:p w14:paraId="28AECD56" w14:textId="77777777" w:rsidR="00B37EE3" w:rsidRPr="009143EF" w:rsidRDefault="00000000">
      <w:pPr>
        <w:keepNext/>
        <w:spacing w:before="360" w:after="120"/>
        <w:rPr>
          <w:rFonts w:ascii="Times New Roman" w:hAnsi="Times New Roman" w:cs="Times New Roman"/>
          <w:sz w:val="28"/>
          <w:szCs w:val="28"/>
        </w:rPr>
      </w:pPr>
      <w:r w:rsidRPr="009143EF">
        <w:rPr>
          <w:rFonts w:ascii="Times New Roman" w:hAnsi="Times New Roman" w:cs="Times New Roman"/>
          <w:b/>
          <w:sz w:val="28"/>
          <w:szCs w:val="28"/>
        </w:rPr>
        <w:lastRenderedPageBreak/>
        <w:t>8. References</w:t>
      </w:r>
    </w:p>
    <w:p w14:paraId="55082C6A"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 xml:space="preserve">Pedregosa, F. et al. (2011). Scikit-learn: Machine Learning in Python. Journal of Machine Learning Research, 12, pp. 2825–2830. </w:t>
      </w:r>
      <w:proofErr w:type="gramStart"/>
      <w:r w:rsidRPr="009143EF">
        <w:rPr>
          <w:rFonts w:ascii="Times New Roman" w:hAnsi="Times New Roman" w:cs="Times New Roman"/>
          <w:sz w:val="28"/>
          <w:szCs w:val="28"/>
        </w:rPr>
        <w:t>Specifically</w:t>
      </w:r>
      <w:proofErr w:type="gramEnd"/>
      <w:r w:rsidRPr="009143EF">
        <w:rPr>
          <w:rFonts w:ascii="Times New Roman" w:hAnsi="Times New Roman" w:cs="Times New Roman"/>
          <w:sz w:val="28"/>
          <w:szCs w:val="28"/>
        </w:rPr>
        <w:t xml:space="preserve"> the documentation on imputation of missing values and sequential feature selection.</w:t>
      </w:r>
    </w:p>
    <w:p w14:paraId="359CC5FC"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Hughes, A. M. (2006). Strategic Database Marketing. McGraw-Hill. Covers the foundations of RFM (Recency, Frequency, Monetary) modelling and how it applies to customer segmentation.</w:t>
      </w:r>
    </w:p>
    <w:p w14:paraId="5A642877"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Tibshirani, R. (1996). Regression Shrinkage and Selection via the Lasso. Journal of the Royal Statistical Society, Series B, 58(1), pp. 267–288.</w:t>
      </w:r>
    </w:p>
    <w:p w14:paraId="4F7147DA" w14:textId="77777777" w:rsidR="00B37EE3" w:rsidRPr="009143EF" w:rsidRDefault="00000000">
      <w:pPr>
        <w:spacing w:after="120"/>
        <w:rPr>
          <w:rFonts w:ascii="Times New Roman" w:hAnsi="Times New Roman" w:cs="Times New Roman"/>
          <w:sz w:val="28"/>
          <w:szCs w:val="28"/>
        </w:rPr>
      </w:pPr>
      <w:r w:rsidRPr="009143EF">
        <w:rPr>
          <w:rFonts w:ascii="Times New Roman" w:hAnsi="Times New Roman" w:cs="Times New Roman"/>
          <w:sz w:val="28"/>
          <w:szCs w:val="28"/>
        </w:rPr>
        <w:t>Cover, T. M. and Thomas, J. A. (2006). Elements of Information Theory. 2nd ed. Wiley-Interscience. Provides the mathematical basis for mutual information and information gain calculations.</w:t>
      </w:r>
    </w:p>
    <w:sectPr w:rsidR="00B37EE3" w:rsidRPr="009143E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1719113">
    <w:abstractNumId w:val="8"/>
  </w:num>
  <w:num w:numId="2" w16cid:durableId="2075732969">
    <w:abstractNumId w:val="6"/>
  </w:num>
  <w:num w:numId="3" w16cid:durableId="2075348141">
    <w:abstractNumId w:val="5"/>
  </w:num>
  <w:num w:numId="4" w16cid:durableId="711661572">
    <w:abstractNumId w:val="4"/>
  </w:num>
  <w:num w:numId="5" w16cid:durableId="1778522486">
    <w:abstractNumId w:val="7"/>
  </w:num>
  <w:num w:numId="6" w16cid:durableId="2082214669">
    <w:abstractNumId w:val="3"/>
  </w:num>
  <w:num w:numId="7" w16cid:durableId="192112367">
    <w:abstractNumId w:val="2"/>
  </w:num>
  <w:num w:numId="8" w16cid:durableId="28922255">
    <w:abstractNumId w:val="1"/>
  </w:num>
  <w:num w:numId="9" w16cid:durableId="192472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6200"/>
    <w:rsid w:val="009143EF"/>
    <w:rsid w:val="00AA1D8D"/>
    <w:rsid w:val="00B37EE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6F50C"/>
  <w14:defaultImageDpi w14:val="300"/>
  <w15:docId w15:val="{E4DB3B04-E20F-44C7-BEB1-ED203A32E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2040</Words>
  <Characters>11629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Nithiesh.S DSA</cp:lastModifiedBy>
  <cp:revision>3</cp:revision>
  <dcterms:created xsi:type="dcterms:W3CDTF">2013-12-23T23:15:00Z</dcterms:created>
  <dcterms:modified xsi:type="dcterms:W3CDTF">2026-05-22T16:05:00Z</dcterms:modified>
  <cp:category/>
</cp:coreProperties>
</file>