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E81" w:rsidRPr="009C3F4E" w:rsidRDefault="00460E81">
      <w:pPr>
        <w:rPr>
          <w:sz w:val="36"/>
          <w:szCs w:val="36"/>
          <w:lang w:val="es-ES"/>
        </w:rPr>
      </w:pPr>
      <w:r w:rsidRPr="009C3F4E">
        <w:rPr>
          <w:sz w:val="36"/>
          <w:szCs w:val="36"/>
          <w:lang w:val="es-ES"/>
        </w:rPr>
        <w:t xml:space="preserve">Las mujeres </w:t>
      </w:r>
      <w:r w:rsidR="009C3F4E" w:rsidRPr="009C3F4E">
        <w:rPr>
          <w:sz w:val="36"/>
          <w:szCs w:val="36"/>
          <w:lang w:val="es-ES"/>
        </w:rPr>
        <w:t>en edad de trabajar escasean en pueblos pequeños</w:t>
      </w:r>
    </w:p>
    <w:p w:rsidR="00460E81" w:rsidRDefault="00460E81" w:rsidP="00460E81">
      <w:pPr>
        <w:rPr>
          <w:rFonts w:ascii="Calibri" w:eastAsia="Times New Roman" w:hAnsi="Calibri" w:cs="Calibri"/>
          <w:noProof w:val="0"/>
          <w:color w:val="000000"/>
          <w:lang w:val="es-ES" w:eastAsia="es-ES"/>
        </w:rPr>
      </w:pPr>
      <w:r>
        <w:rPr>
          <w:lang w:val="es-ES"/>
        </w:rPr>
        <w:t>La masculinidad es el doble en municipios menos poblados.</w:t>
      </w:r>
      <w:r w:rsidR="009C3F4E">
        <w:rPr>
          <w:lang w:val="es-ES"/>
        </w:rPr>
        <w:t xml:space="preserve"> </w:t>
      </w:r>
      <w:r>
        <w:rPr>
          <w:lang w:val="es-ES"/>
        </w:rPr>
        <w:t>En Municipios como Justel en Zamora -88 habitantes-</w:t>
      </w:r>
      <w:r>
        <w:rPr>
          <w:rFonts w:ascii="Calibri" w:eastAsia="Times New Roman" w:hAnsi="Calibri" w:cs="Calibri"/>
          <w:noProof w:val="0"/>
          <w:color w:val="000000"/>
          <w:lang w:val="es-ES" w:eastAsia="es-ES"/>
        </w:rPr>
        <w:t xml:space="preserve">, o </w:t>
      </w:r>
      <w:proofErr w:type="spellStart"/>
      <w:r>
        <w:rPr>
          <w:rFonts w:ascii="Calibri" w:eastAsia="Times New Roman" w:hAnsi="Calibri" w:cs="Calibri"/>
          <w:noProof w:val="0"/>
          <w:color w:val="000000"/>
          <w:lang w:val="es-ES" w:eastAsia="es-ES"/>
        </w:rPr>
        <w:t>Miraveche</w:t>
      </w:r>
      <w:proofErr w:type="spellEnd"/>
      <w:r>
        <w:rPr>
          <w:rFonts w:ascii="Calibri" w:eastAsia="Times New Roman" w:hAnsi="Calibri" w:cs="Calibri"/>
          <w:noProof w:val="0"/>
          <w:color w:val="000000"/>
          <w:lang w:val="es-ES" w:eastAsia="es-ES"/>
        </w:rPr>
        <w:t xml:space="preserve"> en Burgos -80 habitantes- el 83% de la población </w:t>
      </w:r>
      <w:r w:rsidR="009C3F4E">
        <w:rPr>
          <w:rFonts w:ascii="Calibri" w:eastAsia="Times New Roman" w:hAnsi="Calibri" w:cs="Calibri"/>
          <w:noProof w:val="0"/>
          <w:color w:val="000000"/>
          <w:lang w:val="es-ES" w:eastAsia="es-ES"/>
        </w:rPr>
        <w:t xml:space="preserve">en edad de trabajar </w:t>
      </w:r>
      <w:r>
        <w:rPr>
          <w:rFonts w:ascii="Calibri" w:eastAsia="Times New Roman" w:hAnsi="Calibri" w:cs="Calibri"/>
          <w:noProof w:val="0"/>
          <w:color w:val="000000"/>
          <w:lang w:val="es-ES" w:eastAsia="es-ES"/>
        </w:rPr>
        <w:t>son  hombres frente al 17%, que son m</w:t>
      </w:r>
      <w:r w:rsidR="009C3F4E">
        <w:rPr>
          <w:rFonts w:ascii="Calibri" w:eastAsia="Times New Roman" w:hAnsi="Calibri" w:cs="Calibri"/>
          <w:noProof w:val="0"/>
          <w:color w:val="000000"/>
          <w:lang w:val="es-ES" w:eastAsia="es-ES"/>
        </w:rPr>
        <w:t>ujeres.</w:t>
      </w:r>
      <w:r w:rsidR="00483817">
        <w:rPr>
          <w:rFonts w:ascii="Calibri" w:eastAsia="Times New Roman" w:hAnsi="Calibri" w:cs="Calibri"/>
          <w:noProof w:val="0"/>
          <w:color w:val="000000"/>
          <w:lang w:val="es-ES" w:eastAsia="es-ES"/>
        </w:rPr>
        <w:t xml:space="preserve"> </w:t>
      </w:r>
    </w:p>
    <w:p w:rsidR="00460E81" w:rsidRPr="00460E81" w:rsidRDefault="009C3F4E">
      <w:pPr>
        <w:rPr>
          <w:lang w:val="es-ES"/>
        </w:rPr>
      </w:pPr>
      <w:r w:rsidRPr="00460E81">
        <w:drawing>
          <wp:inline distT="0" distB="0" distL="0" distR="0">
            <wp:extent cx="5400040" cy="3012645"/>
            <wp:effectExtent l="19050" t="0" r="10160" b="0"/>
            <wp:docPr id="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60E81" w:rsidRDefault="00483817">
      <w:pPr>
        <w:rPr>
          <w:lang w:val="es-ES"/>
        </w:rPr>
      </w:pPr>
      <w:r>
        <w:rPr>
          <w:lang w:val="es-ES"/>
        </w:rPr>
        <w:t xml:space="preserve">Las zonas rurales de España padecen un éxodo femenino que se viene acentuando en los últimos años. Este proceso se agudiza en municipios por debajo de los 200 habitantes. En el 95% de los municipios por debajo de esta cifra la mayoría de la población en edad de trabajar es masculina. </w:t>
      </w:r>
    </w:p>
    <w:p w:rsidR="00B0715F" w:rsidRDefault="00B0715F">
      <w:pPr>
        <w:rPr>
          <w:lang w:val="es-ES"/>
        </w:rPr>
      </w:pPr>
      <w:r>
        <w:rPr>
          <w:lang w:val="es-ES"/>
        </w:rPr>
        <w:t>En el pico más alto de másculinización se encuentran municipios como Justel en Zamora (80 habitantes), en el que habitan según d</w:t>
      </w:r>
      <w:r w:rsidR="007577EB">
        <w:rPr>
          <w:lang w:val="es-ES"/>
        </w:rPr>
        <w:t>atos del padrón 24 hombres</w:t>
      </w:r>
      <w:r>
        <w:rPr>
          <w:lang w:val="es-ES"/>
        </w:rPr>
        <w:t xml:space="preserve"> de entre 20 y 64 años, frente a nada más que cinco mujeres en la misma franja de edad.</w:t>
      </w:r>
    </w:p>
    <w:p w:rsidR="00B0715F" w:rsidRDefault="00B0715F">
      <w:pPr>
        <w:rPr>
          <w:lang w:val="es-ES"/>
        </w:rPr>
      </w:pPr>
      <w:r>
        <w:rPr>
          <w:lang w:val="es-ES"/>
        </w:rPr>
        <w:t>La nemesis está en Gotarrendura, un pueblo de Ávila de 162 habitantes en el que</w:t>
      </w:r>
      <w:r w:rsidR="007577EB">
        <w:rPr>
          <w:lang w:val="es-ES"/>
        </w:rPr>
        <w:t xml:space="preserve"> casi las tres cuartas partes de la población empadronada en edad de trabajar son mujeres. Gotarrendura es un pueblo que cuenta con una asociación de mujeres fuerte y apuesta por nuevos modelos empresariales. </w:t>
      </w:r>
      <w:hyperlink r:id="rId5" w:history="1">
        <w:r w:rsidR="007577EB" w:rsidRPr="007577EB">
          <w:rPr>
            <w:rStyle w:val="Hipervnculo"/>
            <w:lang w:val="es-ES"/>
          </w:rPr>
          <w:t>En 2007, la Fundación Villalar premió al municipio con el primer galardón a las Políticas Demográficas.</w:t>
        </w:r>
      </w:hyperlink>
    </w:p>
    <w:p w:rsidR="00483817" w:rsidRPr="00460E81" w:rsidRDefault="00483817">
      <w:pPr>
        <w:rPr>
          <w:lang w:val="es-ES"/>
        </w:rPr>
      </w:pPr>
      <w:r>
        <w:rPr>
          <w:lang w:val="es-ES"/>
        </w:rPr>
        <w:t>Factores como “la masculinidad de la vida agraria y pesquera, la mayor dificultad para encontrar un empleo o la escasa representatividad de las mujeres rurales en puestos de responsabilidad” son fundamentales para entender este éxodo que pone en peligro el desarrollo vital de estas zonas, según un estudio del Ministerio de Igualdad.</w:t>
      </w:r>
    </w:p>
    <w:p w:rsidR="00483817" w:rsidRDefault="00483817" w:rsidP="00483817">
      <w:pPr>
        <w:rPr>
          <w:rFonts w:ascii="Calibri" w:eastAsia="Times New Roman" w:hAnsi="Calibri" w:cs="Calibri"/>
          <w:i/>
          <w:noProof w:val="0"/>
          <w:color w:val="000000"/>
          <w:lang w:val="es-ES" w:eastAsia="es-ES"/>
        </w:rPr>
      </w:pPr>
      <w:r>
        <w:rPr>
          <w:rFonts w:ascii="Calibri" w:eastAsia="Times New Roman" w:hAnsi="Calibri" w:cs="Calibri"/>
          <w:i/>
          <w:noProof w:val="0"/>
          <w:color w:val="000000"/>
          <w:lang w:val="es-ES" w:eastAsia="es-ES"/>
        </w:rPr>
        <w:t>(</w:t>
      </w:r>
      <w:proofErr w:type="gramStart"/>
      <w:r>
        <w:rPr>
          <w:rFonts w:ascii="Calibri" w:eastAsia="Times New Roman" w:hAnsi="Calibri" w:cs="Calibri"/>
          <w:i/>
          <w:noProof w:val="0"/>
          <w:color w:val="000000"/>
          <w:lang w:val="es-ES" w:eastAsia="es-ES"/>
        </w:rPr>
        <w:t>se</w:t>
      </w:r>
      <w:proofErr w:type="gramEnd"/>
      <w:r>
        <w:rPr>
          <w:rFonts w:ascii="Calibri" w:eastAsia="Times New Roman" w:hAnsi="Calibri" w:cs="Calibri"/>
          <w:i/>
          <w:noProof w:val="0"/>
          <w:color w:val="000000"/>
          <w:lang w:val="es-ES" w:eastAsia="es-ES"/>
        </w:rPr>
        <w:t xml:space="preserve"> han analizado los municipios con población menor o igual a 200 habitantes y mayor o igual a 75)</w:t>
      </w:r>
    </w:p>
    <w:p w:rsidR="00460E81" w:rsidRDefault="00483817">
      <w:pPr>
        <w:rPr>
          <w:rFonts w:ascii="Calibri" w:hAnsi="Calibri" w:cs="Calibri"/>
          <w:noProof w:val="0"/>
          <w:lang w:val="es-ES"/>
        </w:rPr>
      </w:pPr>
      <w:r>
        <w:rPr>
          <w:rFonts w:ascii="Calibri" w:hAnsi="Calibri" w:cs="Calibri"/>
          <w:noProof w:val="0"/>
          <w:lang w:val="es-ES"/>
        </w:rPr>
        <w:lastRenderedPageBreak/>
        <w:t>Siguientes pasos:</w:t>
      </w:r>
    </w:p>
    <w:p w:rsidR="00460E81" w:rsidRDefault="00483817">
      <w:pPr>
        <w:rPr>
          <w:lang w:val="es-ES"/>
        </w:rPr>
      </w:pPr>
      <w:r>
        <w:rPr>
          <w:rFonts w:ascii="Calibri" w:hAnsi="Calibri" w:cs="Calibri"/>
          <w:noProof w:val="0"/>
          <w:lang w:val="es-ES"/>
        </w:rPr>
        <w:t>- centrarse en mujeres jóvenes (</w:t>
      </w:r>
      <w:r>
        <w:rPr>
          <w:lang w:val="es-ES"/>
        </w:rPr>
        <w:t>20-30?)</w:t>
      </w:r>
      <w:r w:rsidR="00B0715F">
        <w:rPr>
          <w:lang w:val="es-ES"/>
        </w:rPr>
        <w:t>. Acotar más.</w:t>
      </w:r>
    </w:p>
    <w:p w:rsidR="00483817" w:rsidRPr="00460E81" w:rsidRDefault="00483817">
      <w:pPr>
        <w:rPr>
          <w:lang w:val="es-ES"/>
        </w:rPr>
      </w:pPr>
      <w:r>
        <w:rPr>
          <w:lang w:val="es-ES"/>
        </w:rPr>
        <w:t>- comparar con otros años.</w:t>
      </w:r>
    </w:p>
    <w:p w:rsidR="00963F48" w:rsidRPr="009C3F4E" w:rsidRDefault="00963F48">
      <w:pPr>
        <w:rPr>
          <w:lang w:val="es-ES"/>
        </w:rPr>
      </w:pPr>
    </w:p>
    <w:sectPr w:rsidR="00963F48" w:rsidRPr="009C3F4E" w:rsidSect="00963F4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08"/>
  <w:hyphenationZone w:val="425"/>
  <w:characterSpacingControl w:val="doNotCompress"/>
  <w:compat/>
  <w:rsids>
    <w:rsidRoot w:val="00460E81"/>
    <w:rsid w:val="00315BDF"/>
    <w:rsid w:val="003865E9"/>
    <w:rsid w:val="00451F66"/>
    <w:rsid w:val="00460E81"/>
    <w:rsid w:val="00483817"/>
    <w:rsid w:val="004F0C92"/>
    <w:rsid w:val="005951C5"/>
    <w:rsid w:val="007577EB"/>
    <w:rsid w:val="0084519D"/>
    <w:rsid w:val="0089058D"/>
    <w:rsid w:val="00963F48"/>
    <w:rsid w:val="009C3F4E"/>
    <w:rsid w:val="00B0715F"/>
    <w:rsid w:val="00D0618B"/>
    <w:rsid w:val="00D95450"/>
    <w:rsid w:val="00E206E7"/>
    <w:rsid w:val="00F70DAF"/>
    <w:rsid w:val="00F81EC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48"/>
    <w:rPr>
      <w:noProof/>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60E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0E81"/>
    <w:rPr>
      <w:rFonts w:ascii="Tahoma" w:hAnsi="Tahoma" w:cs="Tahoma"/>
      <w:noProof/>
      <w:sz w:val="16"/>
      <w:szCs w:val="16"/>
      <w:lang w:val="en-GB"/>
    </w:rPr>
  </w:style>
  <w:style w:type="character" w:styleId="Hipervnculo">
    <w:name w:val="Hyperlink"/>
    <w:basedOn w:val="Fuentedeprrafopredeter"/>
    <w:uiPriority w:val="99"/>
    <w:unhideWhenUsed/>
    <w:rsid w:val="007577E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8420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bc.es/hemeroteca/historico-26-02-2007/abc/CastillaLeon/gotarrendura-gana-el-pulso-a-la-despoblacion_1631680426957.html" TargetMode="Externa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ntonio\Desktop\mujeres_campo_vacia\limipio\padron-nacional-2016\final\analisis-eve\segund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es-ES_tradnl" altLang="es-ES" sz="1400" b="0" i="0" u="none" strike="noStrike" kern="1200" cap="none" spc="0" normalizeH="0" baseline="0">
                <a:solidFill>
                  <a:schemeClr val="tx1">
                    <a:lumMod val="65000"/>
                    <a:lumOff val="35000"/>
                  </a:schemeClr>
                </a:solidFill>
                <a:effectLst/>
                <a:latin typeface="+mn-lt"/>
                <a:ea typeface="+mn-ea"/>
                <a:cs typeface="+mn-cs"/>
              </a:rPr>
              <a:t>MASCULINIDAD MÁXIMO Y PROMEDIO POR TIPO DE MUNICIPIO</a:t>
            </a:r>
          </a:p>
        </c:rich>
      </c:tx>
      <c:spPr>
        <a:noFill/>
        <a:ln>
          <a:noFill/>
        </a:ln>
        <a:effectLst/>
      </c:spPr>
    </c:title>
    <c:plotArea>
      <c:layout/>
      <c:barChart>
        <c:barDir val="col"/>
        <c:grouping val="clustered"/>
        <c:ser>
          <c:idx val="0"/>
          <c:order val="0"/>
          <c:tx>
            <c:strRef>
              <c:f>GRAFICOS!$F$5</c:f>
              <c:strCache>
                <c:ptCount val="1"/>
                <c:pt idx="0">
                  <c:v>MASCULINIDAD PROMEDIO</c:v>
                </c:pt>
              </c:strCache>
            </c:strRef>
          </c:tx>
          <c:spPr>
            <a:solidFill>
              <a:schemeClr val="accent1"/>
            </a:solidFill>
            <a:ln>
              <a:noFill/>
            </a:ln>
            <a:effectLst/>
          </c:spPr>
          <c:cat>
            <c:strRef>
              <c:f>GRAFICOS!$D$6:$D$11</c:f>
              <c:strCache>
                <c:ptCount val="6"/>
                <c:pt idx="0">
                  <c:v>&lt;200</c:v>
                </c:pt>
                <c:pt idx="1">
                  <c:v>200 - 500</c:v>
                </c:pt>
                <c:pt idx="2">
                  <c:v>500 - 2000</c:v>
                </c:pt>
                <c:pt idx="3">
                  <c:v>2000 - 5000</c:v>
                </c:pt>
                <c:pt idx="4">
                  <c:v>5000 - 10000</c:v>
                </c:pt>
                <c:pt idx="5">
                  <c:v>&gt;10000</c:v>
                </c:pt>
              </c:strCache>
            </c:strRef>
          </c:cat>
          <c:val>
            <c:numRef>
              <c:f>GRAFICOS!$F$6:$F$11</c:f>
              <c:numCache>
                <c:formatCode>General</c:formatCode>
                <c:ptCount val="6"/>
                <c:pt idx="0">
                  <c:v>0.60000000000000009</c:v>
                </c:pt>
                <c:pt idx="1">
                  <c:v>0.56299999999999994</c:v>
                </c:pt>
                <c:pt idx="2">
                  <c:v>0.52500000000000002</c:v>
                </c:pt>
                <c:pt idx="3">
                  <c:v>0.51400000000000001</c:v>
                </c:pt>
                <c:pt idx="4">
                  <c:v>0.51</c:v>
                </c:pt>
                <c:pt idx="5">
                  <c:v>0.50700000000000001</c:v>
                </c:pt>
              </c:numCache>
            </c:numRef>
          </c:val>
        </c:ser>
        <c:ser>
          <c:idx val="1"/>
          <c:order val="1"/>
          <c:tx>
            <c:strRef>
              <c:f>GRAFICOS!$G$5</c:f>
              <c:strCache>
                <c:ptCount val="1"/>
                <c:pt idx="0">
                  <c:v>MASCULINIDAD MÁXIMA</c:v>
                </c:pt>
              </c:strCache>
            </c:strRef>
          </c:tx>
          <c:spPr>
            <a:solidFill>
              <a:schemeClr val="accent2"/>
            </a:solidFill>
            <a:ln>
              <a:noFill/>
            </a:ln>
            <a:effectLst/>
          </c:spPr>
          <c:cat>
            <c:strRef>
              <c:f>GRAFICOS!$D$6:$D$11</c:f>
              <c:strCache>
                <c:ptCount val="6"/>
                <c:pt idx="0">
                  <c:v>&lt;200</c:v>
                </c:pt>
                <c:pt idx="1">
                  <c:v>200 - 500</c:v>
                </c:pt>
                <c:pt idx="2">
                  <c:v>500 - 2000</c:v>
                </c:pt>
                <c:pt idx="3">
                  <c:v>2000 - 5000</c:v>
                </c:pt>
                <c:pt idx="4">
                  <c:v>5000 - 10000</c:v>
                </c:pt>
                <c:pt idx="5">
                  <c:v>&gt;10000</c:v>
                </c:pt>
              </c:strCache>
            </c:strRef>
          </c:cat>
          <c:val>
            <c:numRef>
              <c:f>GRAFICOS!$G$6:$G$11</c:f>
              <c:numCache>
                <c:formatCode>General</c:formatCode>
                <c:ptCount val="6"/>
                <c:pt idx="0">
                  <c:v>1</c:v>
                </c:pt>
                <c:pt idx="1">
                  <c:v>0.51483050847457612</c:v>
                </c:pt>
                <c:pt idx="2">
                  <c:v>0.53030303030303005</c:v>
                </c:pt>
                <c:pt idx="3">
                  <c:v>0.54107648725212498</c:v>
                </c:pt>
                <c:pt idx="4">
                  <c:v>0.56666666666666698</c:v>
                </c:pt>
                <c:pt idx="5">
                  <c:v>0.57017543859649122</c:v>
                </c:pt>
              </c:numCache>
            </c:numRef>
          </c:val>
        </c:ser>
        <c:gapWidth val="219"/>
        <c:overlap val="-27"/>
        <c:axId val="93708672"/>
        <c:axId val="103095296"/>
      </c:barChart>
      <c:catAx>
        <c:axId val="9370867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s-ES"/>
          </a:p>
        </c:txPr>
        <c:crossAx val="103095296"/>
        <c:crosses val="autoZero"/>
        <c:auto val="1"/>
        <c:lblAlgn val="ctr"/>
        <c:lblOffset val="100"/>
        <c:tickMarkSkip val="1"/>
      </c:catAx>
      <c:valAx>
        <c:axId val="10309529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s-ES"/>
          </a:p>
        </c:txPr>
        <c:crossAx val="93708672"/>
        <c:crosses val="autoZero"/>
        <c:crossBetween val="between"/>
      </c:valAx>
      <c:spPr>
        <a:noFill/>
        <a:ln>
          <a:noFill/>
        </a:ln>
        <a:effectLst/>
      </c:spPr>
    </c:plotArea>
    <c:legend>
      <c:legendPos val="b"/>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s-ES"/>
        </a:p>
      </c:txPr>
    </c:legend>
    <c:plotVisOnly val="1"/>
    <c:dispBlanksAs val="gap"/>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s-ES" sz="1000" kern="1200">
          <a:solidFill>
            <a:schemeClr val="tx1"/>
          </a:solidFill>
          <a:latin typeface="+mn-lt"/>
          <a:ea typeface="+mn-ea"/>
          <a:cs typeface="+mn-cs"/>
        </a:defRPr>
      </a:pPr>
      <a:endParaRPr lang="es-ES"/>
    </a:p>
  </c:tx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292</Words>
  <Characters>1611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Hernández</dc:creator>
  <cp:lastModifiedBy>Antonio Hernández</cp:lastModifiedBy>
  <cp:revision>1</cp:revision>
  <dcterms:created xsi:type="dcterms:W3CDTF">2017-05-04T21:21:00Z</dcterms:created>
  <dcterms:modified xsi:type="dcterms:W3CDTF">2017-05-04T22:11:00Z</dcterms:modified>
</cp:coreProperties>
</file>