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1B6BDE"/>
          <w:sz w:val="64"/>
          <w:szCs w:val="64"/>
        </w:rPr>
        <w:t xml:space="preserve">AUROGEN LABS</w:t>
      </w:r>
    </w:p>
    <w:p>
      <w:pPr>
        <w:spacing w:after="400" w:before="0"/>
        <w:jc w:val="center"/>
      </w:pPr>
      <w:r>
        <w:rPr>
          <w:rFonts w:ascii="Calibri" w:cs="Calibri" w:eastAsia="Calibri" w:hAnsi="Calibri"/>
          <w:i/>
          <w:iCs/>
          <w:color w:val="0A1628"/>
          <w:sz w:val="36"/>
          <w:szCs w:val="36"/>
        </w:rPr>
        <w:t xml:space="preserve">Plataforma Web de Investigación de Péptidos</w:t>
      </w:r>
    </w:p>
    <w:p>
      <w:pPr>
        <w:pBdr>
          <w:top w:val="single" w:color="1B6BDE" w:sz="6" w:space="2"/>
          <w:bottom w:val="single" w:color="1B6BDE" w:sz="6" w:space="2"/>
        </w:pBdr>
        <w:spacing w:after="160" w:before="160"/>
        <w:jc w:val="center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INFORME DE ENTREGA Y ESPECIFICACIÓN TÉCNICA DEL PROYECTO</w:t>
      </w:r>
    </w:p>
    <w:p>
      <w:pPr>
        <w:spacing w:after="0" w:before="400"/>
      </w:pPr>
    </w:p>
    <w:tbl>
      <w:tblPr>
        <w:tblW w:type="dxa" w:w="72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200"/>
        <w:gridCol w:w="4000"/>
      </w:tblGrid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Proyecto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Desarrollo de Sitio Web Aurogen Labs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Tipo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Plataforma E-Commerce de Investigación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Entregado el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30 de julio de 2025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Preparado por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Nelson Hidalgo – Desarrollo Web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Versión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1.0 – Entrega Inicial</w:t>
            </w:r>
          </w:p>
        </w:tc>
      </w:tr>
    </w:tbl>
    <w:p>
      <w:r>
        <w:br w:type="page"/>
      </w: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1.  RESUMEN EJECUTIVO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Este documento describe en detalle el trabajo realizado para el diseño, desarrollo y puesta en producción del sitio web de Aurogen Labs, una plataforma digital orientada a la venta de péptidos de investigación científica para el mercado estadounidense.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El proyecto contempló la construcción de una plataforma web completa con experiencia de usuario premium, sistema de carrito de compras, programa de afiliados, verificación de edad, dashboard del cliente y múltiples herramientas de investigación interactivas.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El sitio fue construido sobre tecnología de última generación, diseñado con identidad visual propia de Aurogen Labs, y desplegado en infraestructura de alto rendimiento lista para escalar.</w:t>
      </w:r>
    </w:p>
    <w:p>
      <w:pPr>
        <w:spacing w:after="0" w:before="100"/>
      </w:pPr>
    </w:p>
    <w:p>
      <w:pPr>
        <w:pBdr>
          <w:bottom w:val="single" w:color="4DA3FF" w:sz="4" w:space="1"/>
        </w:pBdr>
        <w:spacing w:after="200" w:before="200"/>
      </w:pP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2.  ALCANCE DEL PROYECTO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El proyecto cubrió el desarrollo completo de una plataforma web de comercio electrónico especializada, incluyendo diseño UI/UX, desarrollo frontend, lógica de negocio del lado del cliente, integración de herramientas interactivas y despliegue en producción. El alcance se dividió en los siguientes componentes principales:</w:t>
      </w:r>
    </w:p>
    <w:p>
      <w:pPr>
        <w:spacing w:after="0" w:before="80"/>
      </w:pP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600"/>
        <w:gridCol w:w="6800"/>
      </w:tblGrid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Diseño UI/UX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Diseño visual completo con identidad de marca Aurogen Labs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Desarrollo Frontend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Aplicación web con 10 rutas/páginas funcionales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Carrito de Compras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Sistema completo con persistencia en sesión del usuario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Catálogo de Productos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12 péptidos con filtros, búsqueda y páginas detalladas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Herramientas de Investigación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Calculadora de dosis interactiva y guías de reconstitución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Verificación de Edad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Gate de 18+ conforme a regulaciones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Programa de Afiliados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Sistema de 3 niveles con formulario de inscripción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Dashboard del Cliente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Panel de control con historial de pedidos y estadísticas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Protocolos de Investigación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Biblioteca de 6 protocolos científicos descargables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Despliegue en Producción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Sitio publicado y accesible en internet</w:t>
            </w:r>
          </w:p>
        </w:tc>
      </w:tr>
    </w:tbl>
    <w:p>
      <w:pPr>
        <w:spacing w:after="0" w:before="200"/>
      </w:pPr>
    </w:p>
    <w:p>
      <w:pPr>
        <w:pBdr>
          <w:bottom w:val="single" w:color="4DA3FF" w:sz="4" w:space="1"/>
        </w:pBdr>
        <w:spacing w:after="200" w:before="200"/>
      </w:pP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3.  TECNOLOGÍAS UTILIZADAS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El sitio fue desarrollado con tecnologías profesionales de nivel enterprise, garantizando rendimiento, escalabilidad y facilidad de mantenimiento:</w:t>
      </w:r>
    </w:p>
    <w:p>
      <w:pPr>
        <w:spacing w:after="0" w:before="80"/>
      </w:pP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600"/>
        <w:gridCol w:w="6800"/>
      </w:tblGrid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Framework Principal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Next.js 16 (App Router) – framework React de alto rendimiento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Lenguaje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TypeScript – tipado estricto para mayor robustez del código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Estilos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Tailwind CSS v4 – sistema de diseño utilitario moderno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Animaciones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Framer Motion – animaciones y transiciones de nivel profesional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Iconografía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Lucide React – biblioteca de íconos consistentes y optimizados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Gestión de Estado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React Context + useReducer – manejo de carrito y sesión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Persistencia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localStorage / sessionStorage – datos del usuario en navegador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Tipografías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Rajdhani (headings) + Inter (cuerpo) vía Google Fonts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Control de Versiones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Git + GitHub – repositorio privado con historial completo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Hosting / CDN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Vercel – despliegue continuo con red CDN global</w:t>
            </w:r>
          </w:p>
        </w:tc>
      </w:tr>
    </w:tbl>
    <w:p>
      <w:pPr>
        <w:spacing w:after="0" w:before="200"/>
      </w:pPr>
    </w:p>
    <w:p>
      <w:pPr>
        <w:pBdr>
          <w:bottom w:val="single" w:color="4DA3FF" w:sz="4" w:space="1"/>
        </w:pBdr>
        <w:spacing w:after="200" w:before="200"/>
      </w:pPr>
    </w:p>
    <w:p>
      <w:r>
        <w:br w:type="page"/>
      </w: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4.  PÁGINAS Y FUNCIONALIDADES DESARROLLADAS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4.1  Página Principal (Home)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La página principal es la carta de presentación de la marca. Incluye los siguientes elementos: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Hero Section 3D Interactivo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Composición de 5 viales 3D flotantes en perspectiva con animación continua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Efecto parallax al hacer scroll: el texto y los viales se desplazan a velocidades distintas creando profundidad visual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Headline animado con shimmer de gradiente en movimiento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12 partículas flotantes animadas en el fondo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3 tarjetas de estadísticas (99%+ Purity, 100+ Compounds, US Made) con entrada animada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Botones de llamada a la acción: SHOP NOW y EXPLORE PROTOCOLS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4 badges de confianza: Third-Party Tested, 99%+ Purity, Batch Verified, Ships 2-5 Days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Sección Shop by Goal – 7 Categorías Visuales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7 cards grandes (220px) con ilustración SVG única por categoría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Categorías: Fat Loss, Muscle Growth, Recovery, Anti-Aging, Skin &amp; Hair, Brain Health, Performance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Cada card tiene color, gradiente y animación propios de la categoría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Hover con glow interior, badge de cantidad de productos y flecha animada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Entrada escalonada (stagger) al hacer scroll hacia la sección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Enlace directo a la tienda filtrada por objetivo al hacer clic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Sección Featured Products – Productos Destacados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Grid de 4 productos destacados con efecto Tilt 3D al pasar el mouse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Cada tarjeta: nombre, concentración, pureza, precio, estrellas, botón de compra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Entrada escalonada con animación whileInView desde abajo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Banner inferior con CTA hacia el catálogo completo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Sección Trust / Confianza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Estadísticas de la empresa con números animados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Indicadores de calidad, proceso de producción y garantías</w:t>
      </w:r>
    </w:p>
    <w:p>
      <w:pPr>
        <w:spacing w:after="0" w:before="1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4.2  Tienda / Catálogo de Productos (/shop)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Catálogo Completo con Filtros Avanzados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12 productos de investigación con información técnica completa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Filtros por: objetivo de investigación (7 categorías), disponibilidad en stock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Barra de búsqueda por nombre de compuesto en tiempo real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Ordenamiento por: precio ascendente/descendente, popularidad, nombre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Contador de resultados y filtros activos visibles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Persistencia de filtros en la URL (parámetros de consulta)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Tarjetas de Producto (Product Cards)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Efecto Tilt 3D controlado por posición del mouse con física de resorte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Glare: destello de luz que sigue al cursor sobre la tarjeta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Vial animado flotando en bucle con color único por producto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Sombra de reflejo animada bajo el vial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Badge de categoría y estado (New, Best Seller, Out of Stock)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Botón 'Notify Me' para productos sin stock – captura email y teléfono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Feedback visual al agregar al carrito (color verde, texto 'Added!')</w:t>
      </w:r>
    </w:p>
    <w:p>
      <w:pPr>
        <w:spacing w:after="0" w:before="1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4.3  Página de Producto Individual (/product/[slug])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Sección Principal del Producto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Vial 3D con animación de flotación y reflejo animado debajo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Nombre, compuesto químico, rating de 4.9 estrellas con 128 reseñas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Precio con tachado de precio original y badge de ahorro (SAVE $X)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4 tarjetas de especificaciones rápidas: tamaño, pureza, storage, peso molecular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Selector de cantidad con controles − y +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Botón ADD TO CART con feedback animado de color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Botón NOTIFY ME para productos sin stock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Botón de Certificate of Analysis (COA)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Banner de aviso Research Use Only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Calculadora de Dosis Interactiva (Inline)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Visible permanentemente en la columna derecha del producto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Input pre-cargado con la concentración del producto (ej: 5mg)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Campo editable: volumen de BAC Water en mL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Campo editable: dosis de investigación en mcg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Cálculo en tiempo real: concentración resultante en mg/mL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Resultado: número exacto de unidades a cargar en jeringa de insulina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Botón INJECT X UNITS que se actualiza dinámicamente con cada cambio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6 Tabs de Contenido con Transiciones Animadas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Description: descripción científica larga + checklist de características + disclaimer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Specifications: tabla de especificaciones técnicas completas del compuesto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Dosing Calculator: versión expandida del calculador con tip de reconstitución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Protocols: 3 protocolos de investigación generados dinámicamente para el producto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FAQ: 5 preguntas frecuentes con acordeón animado (expandir/colapsar)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Reviews: resumen de rating con barras por estrella + 4 reseñas verificadas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Productos Relacionados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Grid de hasta 4 productos del mismo objetivo de investigación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Tarjetas con efecto Tilt 3D y animación escalonada</w:t>
      </w:r>
    </w:p>
    <w:p>
      <w:pPr>
        <w:spacing w:after="0" w:before="160"/>
      </w:pPr>
    </w:p>
    <w:p>
      <w:r>
        <w:br w:type="page"/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4.4  Carrito de Compras (/cart y drawer)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Drawer / Panel Deslizante del Carrito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Se abre desde el ícono de carrito en la barra de navegación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Lista de productos con imagen, nombre, concentración y precio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Controles de cantidad por producto (+ y −)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Botón de eliminación por ítem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Subtotal calculado en tiempo real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Disclaimer de investigación científica obligatorio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Botón de Checkout y enlace a página de carrito completa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Persistencia del Carrito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Los productos en el carrito se guardan en localStorage del navegador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El carrito se mantiene entre sesiones y recargas de página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Badge con contador de ítems visible en la barra de navegación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Página de Checkout (/checkout)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Formulario de información de contacto: nombre, email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Formulario de dirección de envío: dirección, ciudad, estado, ZIP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Sección de pago con espacio reservado para integración de Stripe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Resumen del pedido con desglose por producto y total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Checkbox de acuerdo de uso para investigación</w:t>
      </w:r>
    </w:p>
    <w:p>
      <w:pPr>
        <w:spacing w:after="0" w:before="1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4.5  Dashboard del Cliente (/dashboard)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Tab Overview – Resumen General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Fila de 4 estadísticas: pedidos totales, gasto total, compuestos únicos, puntos de lealtad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Panel de pedidos recientes (últimos 3) con badges de estado animados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Widget de 'Carrito en progreso' si hay productos en el carrito activo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Barra de progreso de lealtad hacia el tier Elite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4 accesos rápidos: Shop, Research Center, Protocols, Affiliates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Gráfica de barras animada con gasto de los últimos 6 meses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Tab My Orders – Historial de Pedidos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Lista completa de pedidos con número de orden, fecha y estado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Desglose por ítem de cada pedido con cantidad y precio unitario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Badges de estado: Delivered (verde), Shipped (azul), Processing (amarillo), Pending (gris)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Botón de reorden para volver a comprar los mismos productos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Tab Profile – Perfil y Configuración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Formulario editable: nombre, email, institución/laboratorio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Toggles de preferencias de notificaciones por tipo de comunicación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Botones de guardar cambios y cerrar sesión</w:t>
      </w:r>
    </w:p>
    <w:p>
      <w:pPr>
        <w:spacing w:after="0" w:before="1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4.6  Programa de Afiliados (/affiliates)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Sistema de 3 Niveles de Comisión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Nivel Researcher: 10% de comisión por referidos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Nivel Associate: 15% de comisión – acceso a materiales de marketing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Nivel Elite: 20% de comisión – soporte dedicado y acceso anticipado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Comparativa visual de beneficios por nivel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Formulario de Inscripción y Panel Demo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Formulario de aplicación al programa con validación de campos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Simulador de enlace de referido personalizado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Sección 'Cómo funciona' con 4 pasos ilustrados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Calculadora de ganancias potenciales</w:t>
      </w:r>
    </w:p>
    <w:p>
      <w:pPr>
        <w:spacing w:after="0" w:before="1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4.7  Research Center (/research)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Recursos de Investigación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Grid de 6 recursos: biblioteca científica, guías de reconstitución, calculadora, videos, COA, fichas de seguridad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Guía paso a paso de reconstitución de péptidos (5 pasos con materiales y procedimientos)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Calculadora interactiva de reconstitución: inputs de mg y mL, output de concentración resultante</w:t>
      </w:r>
    </w:p>
    <w:p>
      <w:pPr>
        <w:spacing w:after="0" w:before="160"/>
      </w:pP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4.8  Biblioteca de Protocolos (/protocols)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6 Protocolos de Investigación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BPC-157 Reconstitution Protocol (Recovery · 8-12 semanas)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Semaglutide Research Protocol (Fat Loss · 16-24 semanas)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Anti-Aging Peptide Stack (Anti-Aging · 12 semanas)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IGF-1 LR3 Research Protocol (Muscle Growth · 4 semanas)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TB-500 Wound Healing Study (Recovery · 6-8 semanas)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Nootropic Peptide Protocol (Brain Health · 8 semanas)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Cada protocolo: descripción técnica, duración, tags, botón de descarga PDF</w:t>
      </w:r>
    </w:p>
    <w:p>
      <w:pPr>
        <w:spacing w:after="0" w:before="160"/>
      </w:pPr>
    </w:p>
    <w:p>
      <w:pPr>
        <w:pBdr>
          <w:bottom w:val="single" w:color="4DA3FF" w:sz="4" w:space="1"/>
        </w:pBdr>
        <w:spacing w:after="200" w:before="200"/>
      </w:pPr>
    </w:p>
    <w:p>
      <w:r>
        <w:br w:type="page"/>
      </w: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5.  COMPONENTES GLOBALES DEL SITIO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Verificación de Edad (Age Gate)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Modal de pantalla completa al ingresar al sitio por primera vez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Pregunta de confirmación de mayoría de edad (18+)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Opción SI: almacena confirmación en sesión y da acceso al sitio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Opción NO: redirige al usuario fuera del sitio (google.com)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No se puede omitir ni cerrar sin responder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Se activa una sola vez por sesión del navegador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Banner de Investigación (Research Banner)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Barra persistente visible en todas las páginas del sitio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Texto de aviso legal: 'For Research Use Only – Not for Human Consumption'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Cumplimiento de regulaciones para venta de compuestos de investigación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Barra de Navegación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Sticky (pegada al tope) con efecto de blur/glassmorphism al hacer scroll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Logo Aurogen Labs con acceso a la página principal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Menú con dropdown para Shop by Goal (7 subcategorías)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Links: Home, Shop by Goal, Shop by Compound, Protocols, Research Center, Affiliates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Ícono de búsqueda, ícono de usuario (acceso al dashboard), ícono de carrito con contador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Menú hamburguesa responsive para móvil con enlace 'My Account'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Footer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Links de navegación secundaria por sección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Links legales: Terms of Use, Privacy Policy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Disclaimer de uso para investigación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Información de contacto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1B6BDE"/>
          <w:sz w:val="22"/>
          <w:szCs w:val="22"/>
        </w:rPr>
        <w:t xml:space="preserve">● Modal de Notificación de Stock (Notify Me)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Se activa al hacer clic en productos sin disponibilidad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Captura email y número de teléfono del interesado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Confirmación visual de registro con ícono de éxito animado</w:t>
      </w:r>
    </w:p>
    <w:p>
      <w:pPr>
        <w:pStyle w:val="ListParagraph"/>
        <w:numPr>
          <w:ilvl w:val="0"/>
          <w:numId w:val="1"/>
        </w:numPr>
        <w:spacing w:after="60" w:before="60"/>
        <w:ind w:left="4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Cierre automático o manual</w:t>
      </w:r>
    </w:p>
    <w:p>
      <w:pPr>
        <w:spacing w:after="0" w:before="200"/>
      </w:pPr>
    </w:p>
    <w:p>
      <w:pPr>
        <w:pBdr>
          <w:bottom w:val="single" w:color="4DA3FF" w:sz="4" w:space="1"/>
        </w:pBdr>
        <w:spacing w:after="200" w:before="200"/>
      </w:pP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6.  DISEÑO Y EXPERIENCIA DE USUARIO (UI/UX)</w:t>
      </w: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600"/>
        <w:gridCol w:w="6800"/>
      </w:tblGrid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Paleta de colores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Azul profundo #1B6BDE, azul claro #4DA3FF, negro científico #020810, blanco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Tipografía headings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Rajdhani – fuente de estilo técnico/científico con tracking amplio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Tipografía cuerpo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Inter – fuente moderna de alta legibilidad para texto largo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Estilo visual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Dark mode, estética científica premium, detalles de laboratorio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Efectos 3D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Perspectiva CSS + Framer Motion con física de resorte (spring physics)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Animaciones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whileInView stagger, parallax scroll, floating loops, shimmer gradients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Responsive design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Adaptado para mobile, tablet y desktop (breakpoints Tailwind)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Microinteracciones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Tilt en hover, glare, whileTap en botones, acordeones, fadeIn entre tabs</w:t>
            </w:r>
          </w:p>
        </w:tc>
      </w:tr>
    </w:tbl>
    <w:p>
      <w:pPr>
        <w:spacing w:after="0" w:before="200"/>
      </w:pPr>
    </w:p>
    <w:p>
      <w:pPr>
        <w:pBdr>
          <w:bottom w:val="single" w:color="4DA3FF" w:sz="4" w:space="1"/>
        </w:pBdr>
        <w:spacing w:after="200" w:before="200"/>
      </w:pP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7.  INFRAESTRUCTURA Y DESPLIEGUE</w:t>
      </w: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600"/>
        <w:gridCol w:w="6800"/>
      </w:tblGrid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Plataforma de hosting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Vercel – CDN global, HTTPS automático, despliegue en segundos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Repositorio de código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GitHub – control de versiones privado con historial completo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Despliegue automático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Cada cambio en la rama principal se despliega automáticamente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URL de producción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https://soa-pzy.vercel.app (previamente a dominio personalizado)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Rendimiento estimado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Lighthouse Score 90+ en Performance, SEO y Accessibility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Build time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~12 segundos – 10 rutas generadas estáticamente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Dominio personalizado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Configuración disponible una vez conectado el dominio del cliente</w:t>
            </w:r>
          </w:p>
        </w:tc>
      </w:tr>
    </w:tbl>
    <w:p>
      <w:pPr>
        <w:spacing w:after="0" w:before="200"/>
      </w:pPr>
    </w:p>
    <w:p>
      <w:pPr>
        <w:pBdr>
          <w:bottom w:val="single" w:color="4DA3FF" w:sz="4" w:space="1"/>
        </w:pBdr>
        <w:spacing w:after="200" w:before="200"/>
      </w:pPr>
    </w:p>
    <w:p>
      <w:r>
        <w:br w:type="page"/>
      </w: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8.  FASES DE DESARROLLO FUTURAS (NO INCLUIDAS EN ESTA ENTREGA)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Las siguientes funcionalidades fueron diseñadas y arquitecturadas en esta fase para facilitar su implementación futura, pero requieren integración con servicios externos y están cotizadas por separado:</w:t>
      </w:r>
    </w:p>
    <w:p>
      <w:pPr>
        <w:spacing w:after="0" w:before="80"/>
      </w:pP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600"/>
        <w:gridCol w:w="6800"/>
      </w:tblGrid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Fase 2A – Pagos con Stripe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Pasarela de pago real: tarjeta de crédito, PayPal, criptomonedas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Fase 2B – CMS con Sanity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Panel de administración para gestión de productos, fotos y precios sin código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Fase 2C – Base de datos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Supabase: usuarios reales, historial de pedidos real, programa de afiliados activo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Fase 2D – Autenticación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Login/registro de clientes con sesión persistente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Fase 2E – Notificaciones email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Confirmación de pedido, notificación de stock, programa de afiliados automatizado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Fase 2F – Fotos de producto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Integración de imágenes reales del cliente via Sanity CDN (ya configurado)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Fase 2G – SEO avanzado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Metadata dinámica, sitemap, Open Graph para redes sociales</w:t>
            </w:r>
          </w:p>
        </w:tc>
      </w:tr>
    </w:tbl>
    <w:p>
      <w:pPr>
        <w:spacing w:after="0" w:before="200"/>
      </w:pPr>
    </w:p>
    <w:p>
      <w:pPr>
        <w:pBdr>
          <w:bottom w:val="single" w:color="4DA3FF" w:sz="4" w:space="1"/>
        </w:pBdr>
        <w:spacing w:after="200" w:before="200"/>
      </w:pP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9.  CÓMO GESTIONAR EL SITIO (GUÍA RÁPIDA)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9.1  Actualizar productos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En la fase actual, los productos se gestionan editando el archivo de datos del catálogo (src/data/products.ts). Cada producto tiene los campos: nombre, compuesto, concentración, precio, objetivos, descripción, pureza, storage y disponibilidad de stock. Una vez integrado Sanity (Fase 2B), esto se gestiona desde un panel web sin necesidad de editar código.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9.2  Poner/quitar producto en stock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Cambiar el campo inStock: true (disponible) o inStock: false (sin stock) en el archivo de datos. Al poner false, el botón cambia automáticamente a 'Notify Me' y el producto muestra la etiqueta 'OUT OF STOCK'.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9.3  Agregar/cambiar precios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Modificar el campo price del producto correspondiente. Para mostrar precio tachado (precio original), agregar originalPrice con el valor anterior.</w:t>
      </w:r>
    </w:p>
    <w:p>
      <w:pPr>
        <w:pStyle w:val="Heading2"/>
        <w:spacing w:after="120" w:before="300"/>
      </w:pPr>
      <w:r>
        <w:rPr>
          <w:rFonts w:ascii="Calibri" w:cs="Calibri" w:eastAsia="Calibri" w:hAnsi="Calibri"/>
          <w:b/>
          <w:bCs/>
          <w:color w:val="1B6BDE"/>
          <w:sz w:val="24"/>
          <w:szCs w:val="24"/>
        </w:rPr>
        <w:t xml:space="preserve">9.4  Transferir el sitio al cliente</w:t>
      </w:r>
    </w:p>
    <w:p>
      <w:pPr>
        <w:spacing w:after="80" w:before="80"/>
      </w:pPr>
      <w:r>
        <w:rPr>
          <w:rFonts w:ascii="Calibri" w:cs="Calibri" w:eastAsia="Calibri" w:hAnsi="Calibri"/>
          <w:color w:val="111827"/>
          <w:sz w:val="22"/>
          <w:szCs w:val="22"/>
        </w:rPr>
        <w:t xml:space="preserve">El traspaso del proyecto incluye dos pasos: (1) </w:t>
      </w: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Transferencia del repositorio de GitHub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a la cuenta del cliente, y (2) </w:t>
      </w:r>
      <w:r>
        <w:rPr>
          <w:rFonts w:ascii="Calibri" w:cs="Calibri" w:eastAsia="Calibri" w:hAnsi="Calibri"/>
          <w:b/>
          <w:bCs/>
          <w:color w:val="0A1628"/>
          <w:sz w:val="22"/>
          <w:szCs w:val="22"/>
        </w:rPr>
        <w:t xml:space="preserve">reconexión del proyecto en Vercel </w:t>
      </w:r>
      <w:r>
        <w:rPr>
          <w:rFonts w:ascii="Calibri" w:cs="Calibri" w:eastAsia="Calibri" w:hAnsi="Calibri"/>
          <w:color w:val="111827"/>
          <w:sz w:val="22"/>
          <w:szCs w:val="22"/>
        </w:rPr>
        <w:t xml:space="preserve">a su cuenta con el dominio personalizado deseado. Este proceso toma menos de 30 minutos y no interrumpe el servicio.</w:t>
      </w:r>
    </w:p>
    <w:p>
      <w:pPr>
        <w:spacing w:after="0" w:before="200"/>
      </w:pPr>
    </w:p>
    <w:p>
      <w:pPr>
        <w:pBdr>
          <w:bottom w:val="single" w:color="4DA3FF" w:sz="4" w:space="1"/>
        </w:pBdr>
        <w:spacing w:after="200" w:before="200"/>
      </w:pPr>
    </w:p>
    <w:p>
      <w:pPr>
        <w:pBdr>
          <w:left w:val="single" w:color="1B6BDE" w:sz="20" w:space="8"/>
        </w:pBdr>
        <w:spacing w:after="160" w:before="400"/>
        <w:ind w:left="200"/>
      </w:pPr>
      <w:r>
        <w:rPr>
          <w:rFonts w:ascii="Calibri" w:cs="Calibri" w:eastAsia="Calibri" w:hAnsi="Calibri"/>
          <w:b/>
          <w:bCs/>
          <w:color w:val="0A1628"/>
          <w:sz w:val="26"/>
          <w:szCs w:val="26"/>
        </w:rPr>
        <w:t xml:space="preserve">10.  RESUMEN DE ENTREGABLES</w:t>
      </w:r>
    </w:p>
    <w:tbl>
      <w:tblPr>
        <w:tblW w:type="dxa" w:w="104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600"/>
        <w:gridCol w:w="6800"/>
      </w:tblGrid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Código fuente completo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Repositorio GitHub privado con historial de desarrollo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Sitio web en producción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Accesible en internet con HTTPS desde el día de entrega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10 páginas funcionales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/, /shop, /product/[slug], /cart, /checkout, /dashboard, /affiliates, /research, /protocols, /404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Sistema de carrito completo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Carrito con drawer, página dedicada y resumen en checkout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Calculadora de dosis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Herramienta interactiva en cada producto y en Research Center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Dashboard del cliente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Panel con 3 tabs: overview, historial de pedidos, perfil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Biblioteca de protocolos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6 protocolos de investigación con tags y botones de descarga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Programa de afiliados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3 niveles con formulario de inscripción funcional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Verificación de edad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Age gate 18+ con redirección al rechazar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Diseño responsive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Adaptado a todos los tamaños de pantalla</w:t>
            </w:r>
          </w:p>
        </w:tc>
      </w:tr>
      <w:tr>
        <w:tc>
          <w:tcPr>
            <w:tcW w:type="dxa" w:w="36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Efectos 3D y animaciones</w:t>
            </w:r>
          </w:p>
        </w:tc>
        <w:tc>
          <w:tcPr>
            <w:tcW w:type="dxa" w:w="6800"/>
            <w:shd w:fill="EFF6FF" w:color="auto" w:val="clear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Tilt, parallax, floating, shimmer, stagger, acordeones</w:t>
            </w:r>
          </w:p>
        </w:tc>
      </w:tr>
      <w:tr>
        <w:tc>
          <w:tcPr>
            <w:tcW w:type="dxa" w:w="36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b/>
                <w:bCs/>
                <w:color w:val="0A1628"/>
                <w:sz w:val="22"/>
                <w:szCs w:val="22"/>
              </w:rPr>
              <w:t xml:space="preserve">Infraestructura configurada</w:t>
            </w:r>
          </w:p>
        </w:tc>
        <w:tc>
          <w:tcPr>
            <w:tcW w:type="dxa" w:w="6800"/>
          </w:tcPr>
          <w:p>
            <w:pPr>
              <w:spacing w:after="80" w:before="80"/>
            </w:pPr>
            <w:r>
              <w:rPr>
                <w:rFonts w:ascii="Calibri" w:cs="Calibri" w:eastAsia="Calibri" w:hAnsi="Calibri"/>
                <w:color w:val="111827"/>
                <w:sz w:val="22"/>
                <w:szCs w:val="22"/>
              </w:rPr>
              <w:t xml:space="preserve">Vercel + GitHub con despliegue automático activo</w:t>
            </w:r>
          </w:p>
        </w:tc>
      </w:tr>
    </w:tbl>
    <w:p>
      <w:pPr>
        <w:spacing w:after="0" w:before="300"/>
      </w:pPr>
    </w:p>
    <w:p>
      <w:pPr>
        <w:pBdr>
          <w:bottom w:val="single" w:color="4DA3FF" w:sz="4" w:space="1"/>
        </w:pBdr>
        <w:spacing w:after="200" w:before="200"/>
      </w:pPr>
    </w:p>
    <w:p>
      <w:pPr>
        <w:spacing w:after="0" w:before="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Documento preparado por: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A1628"/>
          <w:sz w:val="28"/>
          <w:szCs w:val="28"/>
        </w:rPr>
        <w:t xml:space="preserve">Nelson Hidalgo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i/>
          <w:iCs/>
          <w:color w:val="6B7280"/>
          <w:sz w:val="22"/>
          <w:szCs w:val="22"/>
        </w:rPr>
        <w:t xml:space="preserve">Desarrollo Web &amp; Estrategia Digital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color w:val="1B6BDE"/>
          <w:sz w:val="22"/>
          <w:szCs w:val="22"/>
        </w:rPr>
        <w:t xml:space="preserve">hola@clippersflow.com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color w:val="6B7280"/>
          <w:sz w:val="20"/>
          <w:szCs w:val="20"/>
        </w:rPr>
        <w:t xml:space="preserve">30 de julio de 2025</w:t>
      </w:r>
    </w:p>
    <w:p>
      <w:pPr>
        <w:pBdr>
          <w:top w:val="single" w:color="1B6BDE" w:sz="4" w:space="4"/>
        </w:pBdr>
        <w:spacing w:after="80" w:before="160"/>
        <w:jc w:val="center"/>
      </w:pPr>
      <w:r>
        <w:rPr>
          <w:rFonts w:ascii="Calibri" w:cs="Calibri" w:eastAsia="Calibri" w:hAnsi="Calibri"/>
          <w:i/>
          <w:iCs/>
          <w:color w:val="6B7280"/>
          <w:sz w:val="18"/>
          <w:szCs w:val="18"/>
        </w:rPr>
        <w:t xml:space="preserve">Este documento es confidencial y fue elaborado exclusivamente para Aurogen Labs.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DA3FF" w:sz="4" w:space="4"/>
      </w:pBdr>
      <w:spacing w:before="80"/>
      <w:jc w:val="right"/>
    </w:pPr>
    <w:r>
      <w:rPr>
        <w:rFonts w:ascii="Calibri" w:cs="Calibri" w:eastAsia="Calibri" w:hAnsi="Calibri"/>
        <w:color w:val="6B7280"/>
        <w:sz w:val="18"/>
        <w:szCs w:val="18"/>
      </w:rPr>
      <w:t xml:space="preserve">Página </w:t>
    </w:r>
    <w:pgNum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DA3FF" w:sz="6" w:space="4"/>
      </w:pBdr>
      <w:spacing w:after="80"/>
    </w:pPr>
    <w:r>
      <w:rPr>
        <w:rFonts w:ascii="Calibri" w:cs="Calibri" w:eastAsia="Calibri" w:hAnsi="Calibri"/>
        <w:color w:val="6B7280"/>
        <w:sz w:val="18"/>
        <w:szCs w:val="18"/>
      </w:rPr>
      <w:t xml:space="preserve">AUROGEN LABS  ·  Informe de Entrega del Proyecto Web</w:t>
    </w:r>
    <w:r>
      <w:rPr>
        <w:rFonts w:ascii="Calibri" w:cs="Calibri" w:eastAsia="Calibri" w:hAnsi="Calibri"/>
        <w:i/>
        <w:iCs/>
        <w:color w:val="4DA3FF"/>
        <w:sz w:val="18"/>
        <w:szCs w:val="18"/>
      </w:rPr>
      <w:t xml:space="preserve">  | 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Entrega – Aurogen Labs Website</dc:title>
  <dc:creator>Desarrollo Web Profesional</dc:creator>
  <dc:description>Documento técnico de entrega del proyecto web Aurogen Labs</dc:description>
  <cp:lastModifiedBy>Un-named</cp:lastModifiedBy>
  <cp:revision>1</cp:revision>
  <dcterms:created xsi:type="dcterms:W3CDTF">2026-07-30T19:51:17.469Z</dcterms:created>
  <dcterms:modified xsi:type="dcterms:W3CDTF">2026-07-30T19:51:17.470Z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