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97316" w:sz="6"/>
              <w:left w:val="single" w:color="F97316" w:sz="6"/>
              <w:bottom w:val="single" w:color="F97316" w:sz="6"/>
              <w:right w:val="single" w:color="F97316" w:sz="6"/>
            </w:tcBorders>
            <w:shd w:fill="09090F" w:val="clear"/>
            <w:tcMar>
              <w:top w:type="dxa" w:w="400"/>
              <w:left w:type="dxa" w:w="480"/>
              <w:bottom w:type="dxa" w:w="400"/>
              <w:right w:type="dxa" w:w="480"/>
            </w:tcMar>
          </w:tcPr>
          <w:p>
            <w:pPr>
              <w:spacing w:after="80" w:before="0" w:line="276"/>
              <w:jc w:val="center"/>
            </w:pPr>
            <w:r>
              <w:rPr>
                <w:rFonts w:ascii="Arial" w:cs="Arial" w:eastAsia="Arial" w:hAnsi="Arial"/>
                <w:b/>
                <w:bCs/>
                <w:i w:val="false"/>
                <w:iCs w:val="false"/>
                <w:color w:val="F97316"/>
                <w:sz w:val="64"/>
                <w:szCs w:val="64"/>
              </w:rPr>
              <w:t xml:space="preserve">🔥 PROMETEO</w:t>
            </w:r>
          </w:p>
          <w:p>
            <w:pPr>
              <w:spacing w:after="80" w:before="0" w:line="276"/>
              <w:jc w:val="center"/>
            </w:pPr>
            <w:r>
              <w:rPr>
                <w:rFonts w:ascii="Arial" w:cs="Arial" w:eastAsia="Arial" w:hAnsi="Arial"/>
                <w:b/>
                <w:bCs/>
                <w:i w:val="false"/>
                <w:iCs w:val="false"/>
                <w:color w:val="FFFFFF"/>
                <w:sz w:val="36"/>
                <w:szCs w:val="36"/>
              </w:rPr>
              <w:t xml:space="preserve">Growth Intelligence Engine v2.0</w:t>
            </w:r>
          </w:p>
          <w:p>
            <w:pPr>
              <w:spacing w:after="200" w:before="0" w:line="276"/>
              <w:jc w:val="center"/>
            </w:pPr>
            <w:r>
              <w:rPr>
                <w:rFonts w:ascii="Arial" w:cs="Arial" w:eastAsia="Arial" w:hAnsi="Arial"/>
                <w:b w:val="false"/>
                <w:bCs w:val="false"/>
                <w:i w:val="false"/>
                <w:iCs w:val="false"/>
                <w:color w:val="A0A0B0"/>
                <w:sz w:val="22"/>
                <w:szCs w:val="22"/>
              </w:rPr>
              <w:t xml:space="preserve">CMO Cognitivo — Powered by SOFIAA OS</w:t>
            </w:r>
          </w:p>
          <w:p>
            <w:pPr>
              <w:spacing w:after="80" w:before="0" w:line="276"/>
              <w:jc w:val="center"/>
            </w:pPr>
            <w:r>
              <w:rPr>
                <w:rFonts w:ascii="Arial" w:cs="Arial" w:eastAsia="Arial" w:hAnsi="Arial"/>
                <w:b/>
                <w:bCs/>
                <w:i w:val="false"/>
                <w:iCs w:val="false"/>
                <w:color w:val="EAB308"/>
                <w:sz w:val="22"/>
                <w:szCs w:val="22"/>
              </w:rPr>
              <w:t xml:space="preserve">Documento Técnico Especializado</w:t>
            </w:r>
          </w:p>
          <w:p>
            <w:pPr>
              <w:spacing w:after="0" w:before="0" w:line="276"/>
              <w:jc w:val="center"/>
            </w:pPr>
            <w:r>
              <w:rPr>
                <w:rFonts w:ascii="Arial" w:cs="Arial" w:eastAsia="Arial" w:hAnsi="Arial"/>
                <w:b w:val="false"/>
                <w:bCs w:val="false"/>
                <w:i w:val="false"/>
                <w:iCs w:val="false"/>
                <w:color w:val="606070"/>
                <w:sz w:val="18"/>
                <w:szCs w:val="18"/>
              </w:rPr>
              <w:t xml:space="preserve">Julio 2026  ·  SOFIAA OS  ·  Confidencial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ED7AA" w:sz="4"/>
              <w:left w:val="single" w:color="FED7AA" w:sz="4"/>
              <w:bottom w:val="single" w:color="FED7AA" w:sz="4"/>
              <w:right w:val="single" w:color="FED7AA" w:sz="4"/>
            </w:tcBorders>
            <w:shd w:fill="FFF7ED" w:val="clear"/>
            <w:tcMar>
              <w:top w:type="dxa" w:w="160"/>
              <w:left w:type="dxa" w:w="160"/>
              <w:bottom w:type="dxa" w:w="160"/>
              <w:right w:type="dxa" w:w="160"/>
            </w:tcMar>
          </w:tcPr>
          <w:p>
            <w:pPr>
              <w:spacing w:after="40" w:before="0" w:line="276"/>
              <w:jc w:val="center"/>
            </w:pPr>
            <w:r>
              <w:rPr>
                <w:rFonts w:ascii="Arial" w:cs="Arial" w:eastAsia="Arial" w:hAnsi="Arial"/>
                <w:b/>
                <w:bCs/>
                <w:i w:val="false"/>
                <w:iCs w:val="false"/>
                <w:color w:val="F97316"/>
                <w:sz w:val="48"/>
                <w:szCs w:val="48"/>
              </w:rPr>
              <w:t xml:space="preserve">5</w:t>
            </w:r>
          </w:p>
          <w:p>
            <w:pPr>
              <w:spacing w:after="0" w:before="0" w:line="276"/>
              <w:jc w:val="center"/>
            </w:pPr>
            <w:r>
              <w:rPr>
                <w:rFonts w:ascii="Arial" w:cs="Arial" w:eastAsia="Arial" w:hAnsi="Arial"/>
                <w:b w:val="false"/>
                <w:bCs w:val="false"/>
                <w:i w:val="false"/>
                <w:iCs w:val="false"/>
                <w:color w:val="6B7280"/>
                <w:sz w:val="16"/>
                <w:szCs w:val="16"/>
              </w:rPr>
              <w:t xml:space="preserve">Módulos activos</w:t>
            </w:r>
          </w:p>
        </w:tc>
        <w:tc>
          <w:tcPr>
            <w:tcW w:type="dxa" w:w="2340"/>
            <w:tcBorders>
              <w:top w:val="single" w:color="99F6E4" w:sz="4"/>
              <w:left w:val="single" w:color="99F6E4" w:sz="4"/>
              <w:bottom w:val="single" w:color="99F6E4" w:sz="4"/>
              <w:right w:val="single" w:color="99F6E4" w:sz="4"/>
            </w:tcBorders>
            <w:shd w:fill="F0FDFA" w:val="clear"/>
            <w:tcMar>
              <w:top w:type="dxa" w:w="160"/>
              <w:left w:type="dxa" w:w="160"/>
              <w:bottom w:type="dxa" w:w="160"/>
              <w:right w:type="dxa" w:w="160"/>
            </w:tcMar>
          </w:tcPr>
          <w:p>
            <w:pPr>
              <w:spacing w:after="40" w:before="0" w:line="276"/>
              <w:jc w:val="center"/>
            </w:pPr>
            <w:r>
              <w:rPr>
                <w:rFonts w:ascii="Arial" w:cs="Arial" w:eastAsia="Arial" w:hAnsi="Arial"/>
                <w:b/>
                <w:bCs/>
                <w:i w:val="false"/>
                <w:iCs w:val="false"/>
                <w:color w:val="14B8A6"/>
                <w:sz w:val="48"/>
                <w:szCs w:val="48"/>
              </w:rPr>
              <w:t xml:space="preserve">6</w:t>
            </w:r>
          </w:p>
          <w:p>
            <w:pPr>
              <w:spacing w:after="0" w:before="0" w:line="276"/>
              <w:jc w:val="center"/>
            </w:pPr>
            <w:r>
              <w:rPr>
                <w:rFonts w:ascii="Arial" w:cs="Arial" w:eastAsia="Arial" w:hAnsi="Arial"/>
                <w:b w:val="false"/>
                <w:bCs w:val="false"/>
                <w:i w:val="false"/>
                <w:iCs w:val="false"/>
                <w:color w:val="6B7280"/>
                <w:sz w:val="16"/>
                <w:szCs w:val="16"/>
              </w:rPr>
              <w:t xml:space="preserve">Extension tools</w:t>
            </w:r>
          </w:p>
        </w:tc>
        <w:tc>
          <w:tcPr>
            <w:tcW w:type="dxa" w:w="2340"/>
            <w:tcBorders>
              <w:top w:val="single" w:color="BFDBFE" w:sz="4"/>
              <w:left w:val="single" w:color="BFDBFE" w:sz="4"/>
              <w:bottom w:val="single" w:color="BFDBFE" w:sz="4"/>
              <w:right w:val="single" w:color="BFDBFE" w:sz="4"/>
            </w:tcBorders>
            <w:shd w:fill="EFF6FF" w:val="clear"/>
            <w:tcMar>
              <w:top w:type="dxa" w:w="160"/>
              <w:left w:type="dxa" w:w="160"/>
              <w:bottom w:type="dxa" w:w="160"/>
              <w:right w:type="dxa" w:w="160"/>
            </w:tcMar>
          </w:tcPr>
          <w:p>
            <w:pPr>
              <w:spacing w:after="40" w:before="0" w:line="276"/>
              <w:jc w:val="center"/>
            </w:pPr>
            <w:r>
              <w:rPr>
                <w:rFonts w:ascii="Arial" w:cs="Arial" w:eastAsia="Arial" w:hAnsi="Arial"/>
                <w:b/>
                <w:bCs/>
                <w:i w:val="false"/>
                <w:iCs w:val="false"/>
                <w:color w:val="60A5FA"/>
                <w:sz w:val="48"/>
                <w:szCs w:val="48"/>
              </w:rPr>
              <w:t xml:space="preserve">8</w:t>
            </w:r>
          </w:p>
          <w:p>
            <w:pPr>
              <w:spacing w:after="0" w:before="0" w:line="276"/>
              <w:jc w:val="center"/>
            </w:pPr>
            <w:r>
              <w:rPr>
                <w:rFonts w:ascii="Arial" w:cs="Arial" w:eastAsia="Arial" w:hAnsi="Arial"/>
                <w:b w:val="false"/>
                <w:bCs w:val="false"/>
                <w:i w:val="false"/>
                <w:iCs w:val="false"/>
                <w:color w:val="6B7280"/>
                <w:sz w:val="16"/>
                <w:szCs w:val="16"/>
              </w:rPr>
              <w:t xml:space="preserve">Sprints completados</w:t>
            </w:r>
          </w:p>
        </w:tc>
        <w:tc>
          <w:tcPr>
            <w:tcW w:type="dxa" w:w="2340"/>
            <w:tcBorders>
              <w:top w:val="single" w:color="FEF08A" w:sz="4"/>
              <w:left w:val="single" w:color="FEF08A" w:sz="4"/>
              <w:bottom w:val="single" w:color="FEF08A" w:sz="4"/>
              <w:right w:val="single" w:color="FEF08A" w:sz="4"/>
            </w:tcBorders>
            <w:shd w:fill="FEFCE8" w:val="clear"/>
            <w:tcMar>
              <w:top w:type="dxa" w:w="160"/>
              <w:left w:type="dxa" w:w="160"/>
              <w:bottom w:type="dxa" w:w="160"/>
              <w:right w:type="dxa" w:w="160"/>
            </w:tcMar>
          </w:tcPr>
          <w:p>
            <w:pPr>
              <w:spacing w:after="40" w:before="0" w:line="276"/>
              <w:jc w:val="center"/>
            </w:pPr>
            <w:r>
              <w:rPr>
                <w:rFonts w:ascii="Arial" w:cs="Arial" w:eastAsia="Arial" w:hAnsi="Arial"/>
                <w:b/>
                <w:bCs/>
                <w:i w:val="false"/>
                <w:iCs w:val="false"/>
                <w:color w:val="EAB308"/>
                <w:sz w:val="48"/>
                <w:szCs w:val="48"/>
              </w:rPr>
              <w:t xml:space="preserve">∞</w:t>
            </w:r>
          </w:p>
          <w:p>
            <w:pPr>
              <w:spacing w:after="0" w:before="0" w:line="276"/>
              <w:jc w:val="center"/>
            </w:pPr>
            <w:r>
              <w:rPr>
                <w:rFonts w:ascii="Arial" w:cs="Arial" w:eastAsia="Arial" w:hAnsi="Arial"/>
                <w:b w:val="false"/>
                <w:bCs w:val="false"/>
                <w:i w:val="false"/>
                <w:iCs w:val="false"/>
                <w:color w:val="6B7280"/>
                <w:sz w:val="16"/>
                <w:szCs w:val="16"/>
              </w:rPr>
              <w:t xml:space="preserve">Objetivos posibles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97316" w:sz="4"/>
              <w:left w:val="single" w:color="F97316" w:sz="8"/>
              <w:bottom w:val="single" w:color="F97316" w:sz="4"/>
              <w:right w:val="single" w:color="F97316" w:sz="4"/>
            </w:tcBorders>
            <w:shd w:fill="FFF7ED" w:val="clear"/>
            <w:tcMar>
              <w:top w:type="dxa" w:w="180"/>
              <w:left w:type="dxa" w:w="240"/>
              <w:bottom w:type="dxa" w:w="180"/>
              <w:right w:type="dxa" w:w="240"/>
            </w:tcMar>
          </w:tcPr>
          <w:p>
            <w:pPr>
              <w:spacing w:after="60" w:before="0" w:line="276"/>
              <w:jc w:val="left"/>
            </w:pPr>
            <w:r>
              <w:rPr>
                <w:rFonts w:ascii="Arial" w:cs="Arial" w:eastAsia="Arial" w:hAnsi="Arial"/>
                <w:b/>
                <w:bCs/>
                <w:i w:val="false"/>
                <w:iCs w:val="false"/>
                <w:color w:val="F97316"/>
                <w:sz w:val="18"/>
                <w:szCs w:val="18"/>
              </w:rPr>
              <w:t xml:space="preserve">PRINCIPIO FUNDAMENTAL</w:t>
            </w:r>
          </w:p>
          <w:p>
            <w:pPr>
              <w:spacing w:after="0" w:before="0" w:line="276"/>
              <w:jc w:val="left"/>
            </w:pPr>
            <w:r>
              <w:rPr>
                <w:rFonts w:ascii="Arial" w:cs="Arial" w:eastAsia="Arial" w:hAnsi="Arial"/>
                <w:b w:val="false"/>
                <w:bCs w:val="false"/>
                <w:i/>
                <w:iCs/>
                <w:color w:val="374151"/>
                <w:sz w:val="22"/>
                <w:szCs w:val="22"/>
              </w:rPr>
              <w:t xml:space="preserve">"La campaña es la consecuencia de una decisión estratégica, no el punto de partida.</w:t>
            </w:r>
            <w:r>
              <w:rPr>
                <w:rFonts w:ascii="Arial" w:cs="Arial" w:eastAsia="Arial" w:hAnsi="Arial"/>
                <w:b w:val="false"/>
                <w:bCs w:val="false"/>
                <w:i/>
                <w:iCs/>
                <w:color w:val="374151"/>
                <w:sz w:val="22"/>
                <w:szCs w:val="22"/>
              </w:rPr>
              <w:t xml:space="preserve"> PROMETEO opera por OBJETIVOS. Cada acción de marketing es la derivada de un árbol de decisión que valida presupuesto, inventario, capacidad y canal antes de generar cualquier creativo."</w:t>
            </w:r>
          </w:p>
        </w:tc>
      </w:tr>
    </w:tbl>
    <w:p>
      <w:pPr>
        <w:spacing w:after="0" w:before="300"/>
      </w:pPr>
    </w:p>
    <w:p>
      <w:pPr>
        <w:pStyle w:val="Heading1"/>
        <w:spacing w:after="160" w:before="360"/>
      </w:pPr>
      <w:r>
        <w:rPr>
          <w:rFonts w:ascii="Arial" w:cs="Arial" w:eastAsia="Arial" w:hAnsi="Arial"/>
          <w:b/>
          <w:bCs/>
          <w:i w:val="false"/>
          <w:iCs w:val="false"/>
          <w:color w:val="374151"/>
          <w:sz w:val="34"/>
          <w:szCs w:val="34"/>
        </w:rPr>
        <w:t xml:space="preserve">1. ¿Qué es PROMETEO?</w:t>
      </w:r>
    </w:p>
    <w:p>
      <w:pPr>
        <w:spacing w:after="120" w:before="120" w:line="276"/>
        <w:jc w:val="left"/>
      </w:pPr>
      <w:r>
        <w:rPr>
          <w:rFonts w:ascii="Arial" w:cs="Arial" w:eastAsia="Arial" w:hAnsi="Arial"/>
          <w:b w:val="false"/>
          <w:bCs w:val="false"/>
          <w:i w:val="false"/>
          <w:iCs w:val="false"/>
          <w:color w:val="374151"/>
          <w:sz w:val="20"/>
          <w:szCs w:val="20"/>
        </w:rPr>
        <w:t xml:space="preserve">PROMETEO es el sexto módulo de SOFIAA OS y el primero específicamente diseñado para la inteligencia de crecimiento comercial. No es una herramienta de marketing. Es un </w:t>
      </w:r>
      <w:r>
        <w:rPr>
          <w:rFonts w:ascii="Arial" w:cs="Arial" w:eastAsia="Arial" w:hAnsi="Arial"/>
          <w:b/>
          <w:bCs/>
          <w:i w:val="false"/>
          <w:iCs w:val="false"/>
          <w:color w:val="F97316"/>
          <w:sz w:val="20"/>
          <w:szCs w:val="20"/>
        </w:rPr>
        <w:t xml:space="preserve">CMO Cognitivo</w:t>
      </w:r>
      <w:r>
        <w:rPr>
          <w:rFonts w:ascii="Arial" w:cs="Arial" w:eastAsia="Arial" w:hAnsi="Arial"/>
          <w:b w:val="false"/>
          <w:bCs w:val="false"/>
          <w:i w:val="false"/>
          <w:iCs w:val="false"/>
          <w:color w:val="374151"/>
          <w:sz w:val="20"/>
          <w:szCs w:val="20"/>
        </w:rPr>
        <w:t xml:space="preserve"> — un motor de razonamiento estratégico que toma decisiones de growth con la misma lógica que usaría un director de marketing senior, pero con la velocidad, consistencia y capacidad analítica de la inteligencia artificial.</w:t>
      </w:r>
    </w:p>
    <w:p>
      <w:pPr>
        <w:spacing w:after="120" w:before="0" w:line="276"/>
        <w:jc w:val="left"/>
      </w:pPr>
      <w:r>
        <w:rPr>
          <w:rFonts w:ascii="Arial" w:cs="Arial" w:eastAsia="Arial" w:hAnsi="Arial"/>
          <w:b w:val="false"/>
          <w:bCs w:val="false"/>
          <w:i w:val="false"/>
          <w:iCs w:val="false"/>
          <w:color w:val="374151"/>
          <w:sz w:val="20"/>
          <w:szCs w:val="20"/>
        </w:rPr>
        <w:t xml:space="preserve">A diferencia de los sistemas de marketing automation que generan campañas a partir de templates, PROMETEO parte siempre de un </w:t>
      </w:r>
      <w:r>
        <w:rPr>
          <w:rFonts w:ascii="Arial" w:cs="Arial" w:eastAsia="Arial" w:hAnsi="Arial"/>
          <w:b/>
          <w:bCs/>
          <w:i w:val="false"/>
          <w:iCs w:val="false"/>
          <w:color w:val="1E3A5F"/>
          <w:sz w:val="20"/>
          <w:szCs w:val="20"/>
        </w:rPr>
        <w:t xml:space="preserve">objetivo de negocio cuantificado</w:t>
      </w:r>
      <w:r>
        <w:rPr>
          <w:rFonts w:ascii="Arial" w:cs="Arial" w:eastAsia="Arial" w:hAnsi="Arial"/>
          <w:b w:val="false"/>
          <w:bCs w:val="false"/>
          <w:i w:val="false"/>
          <w:iCs w:val="false"/>
          <w:color w:val="374151"/>
          <w:sz w:val="20"/>
          <w:szCs w:val="20"/>
        </w:rPr>
        <w:t xml:space="preserve">: ¿cuánto quiero vender? ¿cuántos leads necesito? ¿en qué plazo? ¿con qué presupuesto? Solo después de validar estas preguntas a través de su árbol de decisión, el sistema genera la estrategia de canal, los creativos y el brief de acción.</w:t>
      </w:r>
    </w:p>
    <w:p>
      <w:pPr>
        <w:pStyle w:val="Heading2"/>
        <w:spacing w:after="160" w:before="360"/>
      </w:pPr>
      <w:r>
        <w:rPr>
          <w:rFonts w:ascii="Arial" w:cs="Arial" w:eastAsia="Arial" w:hAnsi="Arial"/>
          <w:b/>
          <w:bCs/>
          <w:i w:val="false"/>
          <w:iCs w:val="false"/>
          <w:color w:val="1E3A5F"/>
          <w:sz w:val="26"/>
          <w:szCs w:val="26"/>
        </w:rPr>
        <w:t xml:space="preserve">1.1 Posicionamiento en el ecosistema SOFIAA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800"/>
        <w:gridCol w:w="1800"/>
        <w:gridCol w:w="17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Extensión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Dominio</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Paradigma</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Motor IA</w:t>
            </w:r>
          </w:p>
        </w:tc>
        <w:tc>
          <w:tcPr>
            <w:tcW w:type="dxa" w:w="1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Garantía</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TEC Bii</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Institucional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Cognitivo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Hipótesis cruzadas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ATENA</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Científico</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Determinista</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Cero alucinaciones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Growth / CMO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Objetivos-first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Estrategia antes que campaña</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N.E.X.O.</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Conocimiento</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Semántico-temporal</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Memoria persistente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Mkt Sofia</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Operativo SMM</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CRUD + KPIs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Dashboard en tiempo real</w:t>
            </w:r>
          </w:p>
        </w:tc>
      </w:tr>
    </w:tbl>
    <w:p>
      <w:pPr>
        <w:spacing w:after="0" w:before="200"/>
      </w:pPr>
    </w:p>
    <w:p>
      <w:r>
        <w:br w:type="page"/>
      </w:r>
    </w:p>
    <w:p>
      <w:pPr>
        <w:pStyle w:val="Heading1"/>
        <w:spacing w:after="160" w:before="360"/>
      </w:pPr>
      <w:r>
        <w:rPr>
          <w:rFonts w:ascii="Arial" w:cs="Arial" w:eastAsia="Arial" w:hAnsi="Arial"/>
          <w:b/>
          <w:bCs/>
          <w:i w:val="false"/>
          <w:iCs w:val="false"/>
          <w:color w:val="374151"/>
          <w:sz w:val="34"/>
          <w:szCs w:val="34"/>
        </w:rPr>
        <w:t xml:space="preserve">2. Arquitectura Técnica</w:t>
      </w:r>
    </w:p>
    <w:p>
      <w:pPr>
        <w:spacing w:after="160" w:before="0" w:line="276"/>
        <w:jc w:val="left"/>
      </w:pPr>
      <w:r>
        <w:rPr>
          <w:rFonts w:ascii="Arial" w:cs="Arial" w:eastAsia="Arial" w:hAnsi="Arial"/>
          <w:b w:val="false"/>
          <w:bCs w:val="false"/>
          <w:i w:val="false"/>
          <w:iCs w:val="false"/>
          <w:color w:val="374151"/>
          <w:sz w:val="20"/>
          <w:szCs w:val="20"/>
        </w:rPr>
        <w:t xml:space="preserve">PROMETEO es una extensión nativa de SOFIAA OS. Esto significa que no corre aislado — corre </w:t>
      </w:r>
      <w:r>
        <w:rPr>
          <w:rFonts w:ascii="Arial" w:cs="Arial" w:eastAsia="Arial" w:hAnsi="Arial"/>
          <w:b/>
          <w:bCs/>
          <w:i w:val="false"/>
          <w:iCs w:val="false"/>
          <w:color w:val="F97316"/>
          <w:sz w:val="20"/>
          <w:szCs w:val="20"/>
        </w:rPr>
        <w:t xml:space="preserve">sobre la infraestructura cognitiva completa</w:t>
      </w:r>
      <w:r>
        <w:rPr>
          <w:rFonts w:ascii="Arial" w:cs="Arial" w:eastAsia="Arial" w:hAnsi="Arial"/>
          <w:b w:val="false"/>
          <w:bCs w:val="false"/>
          <w:i w:val="false"/>
          <w:iCs w:val="false"/>
          <w:color w:val="374151"/>
          <w:sz w:val="20"/>
          <w:szCs w:val="20"/>
        </w:rPr>
        <w:t xml:space="preserve"> de la plataforma: el grafo N.E.X.O., el LLM Orchestrator, el Capability Gateway, el Agent Runtime y la memoria persistente de usuario. Cada módulo de PROMETEO es un nodo dentro de este ecosistema, no una isla.</w:t>
      </w:r>
    </w:p>
    <w:p>
      <w:pPr>
        <w:pStyle w:val="Heading2"/>
        <w:spacing w:after="160" w:before="360"/>
      </w:pPr>
      <w:r>
        <w:rPr>
          <w:rFonts w:ascii="Arial" w:cs="Arial" w:eastAsia="Arial" w:hAnsi="Arial"/>
          <w:b/>
          <w:bCs/>
          <w:i w:val="false"/>
          <w:iCs w:val="false"/>
          <w:color w:val="1E3A5F"/>
          <w:sz w:val="26"/>
          <w:szCs w:val="26"/>
        </w:rP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FED7AA" w:sz="1"/>
              <w:left w:val="single" w:color="FED7AA" w:sz="1"/>
              <w:bottom w:val="single" w:color="FED7AA" w:sz="1"/>
              <w:right w:val="single" w:color="FED7AA" w:sz="1"/>
            </w:tcBorders>
            <w:shd w:fill="FFFBF8"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Lenguaje / Runtime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TypeScript 5 · Next.js 14 App Router · React Server Components</w:t>
            </w:r>
          </w:p>
        </w:tc>
      </w:tr>
      <w:tr>
        <w:tc>
          <w:tcPr>
            <w:tcW w:type="dxa" w:w="2800"/>
            <w:tcBorders>
              <w:top w:val="single" w:color="FED7AA" w:sz="1"/>
              <w:left w:val="single" w:color="FED7AA" w:sz="1"/>
              <w:bottom w:val="single" w:color="FED7AA" w:sz="1"/>
              <w:right w:val="single" w:color="FED7AA" w:sz="1"/>
            </w:tcBorders>
            <w:shd w:fill="FFF7ED"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LLM Engine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 API — llama-3.3-70b-versatile con JSON mode estricto. Latencia &lt;800ms por generación.</w:t>
            </w:r>
          </w:p>
        </w:tc>
      </w:tr>
      <w:tr>
        <w:tc>
          <w:tcPr>
            <w:tcW w:type="dxa" w:w="2800"/>
            <w:tcBorders>
              <w:top w:val="single" w:color="FED7AA" w:sz="1"/>
              <w:left w:val="single" w:color="FED7AA" w:sz="1"/>
              <w:bottom w:val="single" w:color="FED7AA" w:sz="1"/>
              <w:right w:val="single" w:color="FED7AA" w:sz="1"/>
            </w:tcBorders>
            <w:shd w:fill="FFFBF8"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Base de datos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Firestore (NoSQL, tiempo real). Colecciones bajo smm_workspaces/{workspaceId}/prometeo_*</w:t>
            </w:r>
          </w:p>
        </w:tc>
      </w:tr>
      <w:tr>
        <w:tc>
          <w:tcPr>
            <w:tcW w:type="dxa" w:w="2800"/>
            <w:tcBorders>
              <w:top w:val="single" w:color="FED7AA" w:sz="1"/>
              <w:left w:val="single" w:color="FED7AA" w:sz="1"/>
              <w:bottom w:val="single" w:color="FED7AA" w:sz="1"/>
              <w:right w:val="single" w:color="FED7AA" w:sz="1"/>
            </w:tcBorders>
            <w:shd w:fill="FFF7ED"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Autenticación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Firebase Auth con Bearer token en todas las API routes. RBAC por workspace.</w:t>
            </w:r>
          </w:p>
        </w:tc>
      </w:tr>
      <w:tr>
        <w:tc>
          <w:tcPr>
            <w:tcW w:type="dxa" w:w="2800"/>
            <w:tcBorders>
              <w:top w:val="single" w:color="FED7AA" w:sz="1"/>
              <w:left w:val="single" w:color="FED7AA" w:sz="1"/>
              <w:bottom w:val="single" w:color="FED7AA" w:sz="1"/>
              <w:right w:val="single" w:color="FED7AA" w:sz="1"/>
            </w:tcBorders>
            <w:shd w:fill="FFFBF8"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Extensión host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SofiaaExtension v2.0 — contrato SEE (SOFIAA Extension Ecosystem). Mismo patrón que TEC Bii y ATENA.</w:t>
            </w:r>
          </w:p>
        </w:tc>
      </w:tr>
      <w:tr>
        <w:tc>
          <w:tcPr>
            <w:tcW w:type="dxa" w:w="2800"/>
            <w:tcBorders>
              <w:top w:val="single" w:color="FED7AA" w:sz="1"/>
              <w:left w:val="single" w:color="FED7AA" w:sz="1"/>
              <w:bottom w:val="single" w:color="FED7AA" w:sz="1"/>
              <w:right w:val="single" w:color="FED7AA" w:sz="1"/>
            </w:tcBorders>
            <w:shd w:fill="FFF7ED"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Grafo de conocimiento</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N.E.X.O. — Brand DNA publicado como NexoNode con embedding gemini-embedding-001 (3,072 dims).</w:t>
            </w:r>
          </w:p>
        </w:tc>
      </w:tr>
      <w:tr>
        <w:tc>
          <w:tcPr>
            <w:tcW w:type="dxa" w:w="2800"/>
            <w:tcBorders>
              <w:top w:val="single" w:color="FED7AA" w:sz="1"/>
              <w:left w:val="single" w:color="FED7AA" w:sz="1"/>
              <w:bottom w:val="single" w:color="FED7AA" w:sz="1"/>
              <w:right w:val="single" w:color="FED7AA" w:sz="1"/>
            </w:tcBorders>
            <w:shd w:fill="FFFBF8"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Tema visual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Fire Palette: FIRE=#f97316, CRIMSON=#ef4444, BG=#09090f, CARD=#14141f, BORDER=#1e1e2e.</w:t>
            </w:r>
          </w:p>
        </w:tc>
      </w:tr>
      <w:tr>
        <w:tc>
          <w:tcPr>
            <w:tcW w:type="dxa" w:w="2800"/>
            <w:tcBorders>
              <w:top w:val="single" w:color="FED7AA" w:sz="1"/>
              <w:left w:val="single" w:color="FED7AA" w:sz="1"/>
              <w:bottom w:val="single" w:color="FED7AA" w:sz="1"/>
              <w:right w:val="single" w:color="FED7AA" w:sz="1"/>
            </w:tcBorders>
            <w:shd w:fill="FFF7ED"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97316"/>
                <w:sz w:val="18"/>
                <w:szCs w:val="18"/>
              </w:rPr>
              <w:t xml:space="preserve">Rutas activas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 · /prometeo/brand-dna · /prometeo/objetivos · /prometeo/creative-memory · /prometeo/creative-lab · /prometeo/director</w:t>
            </w:r>
          </w:p>
        </w:tc>
      </w:tr>
    </w:tbl>
    <w:p>
      <w:pPr>
        <w:spacing w:after="0" w:before="160"/>
      </w:pPr>
    </w:p>
    <w:p>
      <w:pPr>
        <w:pStyle w:val="Heading2"/>
        <w:spacing w:after="160" w:before="360"/>
      </w:pPr>
      <w:r>
        <w:rPr>
          <w:rFonts w:ascii="Arial" w:cs="Arial" w:eastAsia="Arial" w:hAnsi="Arial"/>
          <w:b/>
          <w:bCs/>
          <w:i w:val="false"/>
          <w:iCs w:val="false"/>
          <w:color w:val="1E3A5F"/>
          <w:sz w:val="26"/>
          <w:szCs w:val="26"/>
        </w:rPr>
        <w:t xml:space="preserve">2.2 Colecciones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3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Colección</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Módulo origen</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Contenido principal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prometeo_brand_dna</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Brand DNA</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Arquetipo, tono, promesas, tabús, nivelTécnico, plataformas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prometeo_goals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Goal Engine</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BrandGoal: tipo, valorObjetivo, unidad, fechaLimite, presupuesto, estado, kpiActual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prometeo_goal_states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Goal Engine</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GoalState: notas de progreso, decisiones del árbol, estrategia generada</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prometeo_creative_memory</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Creative Memory</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ROAS, CTR, CPA, conversiones, hookType, canal, formato, performanceScore 0-100</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prometeo_creative_labs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Creative Lab</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Sesiones de generación: parámetros, variantes generadas, seleccionadas, guardadas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prometeo_director_briefs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Director</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Brief diario: recomendaciones por urgencia, oportunidades, KPIs snapshot, roasPromedio</w:t>
            </w:r>
          </w:p>
        </w:tc>
      </w:tr>
    </w:tbl>
    <w:p>
      <w:pPr>
        <w:spacing w:after="0" w:before="160"/>
      </w:pPr>
    </w:p>
    <w:p>
      <w:pPr>
        <w:pStyle w:val="Heading2"/>
        <w:spacing w:after="160" w:before="360"/>
      </w:pPr>
      <w:r>
        <w:rPr>
          <w:rFonts w:ascii="Arial" w:cs="Arial" w:eastAsia="Arial" w:hAnsi="Arial"/>
          <w:b/>
          <w:bCs/>
          <w:i w:val="false"/>
          <w:iCs w:val="false"/>
          <w:color w:val="1E3A5F"/>
          <w:sz w:val="26"/>
          <w:szCs w:val="26"/>
        </w:rPr>
        <w:t xml:space="preserve">2.3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400"/>
        <w:gridCol w:w="416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Endpoint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Método</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Función</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/api/prometeo/creative-lab/generate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POST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 6 variantes creativas con Groq. Lee Creative Memory para scoring predictivo.</w:t>
            </w:r>
          </w:p>
        </w:tc>
      </w:tr>
      <w:tr>
        <w:tc>
          <w:tcPr>
            <w:tcW w:type="dxa" w:w="3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/api/prometeo/director/brief</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POST</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 DirectorBrief: analiza objetivos activos + memoria creativa + detecta fatiga.</w:t>
            </w:r>
          </w:p>
        </w:tc>
      </w:tr>
    </w:tbl>
    <w:p>
      <w:pPr>
        <w:spacing w:after="0" w:before="300"/>
      </w:pPr>
    </w:p>
    <w:p>
      <w:r>
        <w:br w:type="page"/>
      </w:r>
    </w:p>
    <w:p>
      <w:pPr>
        <w:pStyle w:val="Heading1"/>
        <w:spacing w:after="160" w:before="360"/>
      </w:pPr>
      <w:r>
        <w:rPr>
          <w:rFonts w:ascii="Arial" w:cs="Arial" w:eastAsia="Arial" w:hAnsi="Arial"/>
          <w:b/>
          <w:bCs/>
          <w:i w:val="false"/>
          <w:iCs w:val="false"/>
          <w:color w:val="374151"/>
          <w:sz w:val="34"/>
          <w:szCs w:val="34"/>
        </w:rPr>
        <w:t xml:space="preserve">3. Los 5 Módulos de PROMETEO</w:t>
      </w:r>
    </w:p>
    <w:p>
      <w:pPr>
        <w:spacing w:after="160" w:before="0" w:line="276"/>
        <w:jc w:val="left"/>
      </w:pPr>
      <w:r>
        <w:rPr>
          <w:rFonts w:ascii="Arial" w:cs="Arial" w:eastAsia="Arial" w:hAnsi="Arial"/>
          <w:b w:val="false"/>
          <w:bCs w:val="false"/>
          <w:i w:val="false"/>
          <w:iCs w:val="false"/>
          <w:color w:val="374151"/>
          <w:sz w:val="20"/>
          <w:szCs w:val="20"/>
        </w:rPr>
        <w:t xml:space="preserve">Cada módulo de PROMETEO resuelve una capa específica de la inteligencia de growth. No son features independientes — son </w:t>
      </w:r>
      <w:r>
        <w:rPr>
          <w:rFonts w:ascii="Arial" w:cs="Arial" w:eastAsia="Arial" w:hAnsi="Arial"/>
          <w:b/>
          <w:bCs/>
          <w:i w:val="false"/>
          <w:iCs w:val="false"/>
          <w:color w:val="F97316"/>
          <w:sz w:val="20"/>
          <w:szCs w:val="20"/>
        </w:rPr>
        <w:t xml:space="preserve">capas que se retroalimentan</w:t>
      </w:r>
      <w:r>
        <w:rPr>
          <w:rFonts w:ascii="Arial" w:cs="Arial" w:eastAsia="Arial" w:hAnsi="Arial"/>
          <w:b w:val="false"/>
          <w:bCs w:val="false"/>
          <w:i w:val="false"/>
          <w:iCs w:val="false"/>
          <w:color w:val="374151"/>
          <w:sz w:val="20"/>
          <w:szCs w:val="20"/>
        </w:rPr>
        <w:t xml:space="preserve">: Brand DNA informa a Creative Lab, Creative Memory alimenta el scoring predictivo, y el Director Autónomo sintetiza todo en acción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97316" w:sz="4"/>
              <w:left w:val="single" w:color="F97316" w:sz="8"/>
              <w:bottom w:val="single" w:color="F97316" w:sz="4"/>
              <w:right w:val="single" w:color="F97316" w:sz="4"/>
            </w:tcBorders>
            <w:shd w:fill="FFF7ED" w:val="clear"/>
            <w:tcMar>
              <w:top w:type="dxa" w:w="180"/>
              <w:left w:type="dxa" w:w="240"/>
              <w:bottom w:type="dxa" w:w="180"/>
              <w:right w:type="dxa" w:w="240"/>
            </w:tcMar>
          </w:tcPr>
          <w:p>
            <w:pPr>
              <w:spacing w:after="40" w:before="0" w:line="276"/>
              <w:jc w:val="left"/>
            </w:pPr>
            <w:r>
              <w:rPr>
                <w:rFonts w:ascii="Arial" w:cs="Arial" w:eastAsia="Arial" w:hAnsi="Arial"/>
                <w:b/>
                <w:bCs/>
                <w:i w:val="false"/>
                <w:iCs w:val="false"/>
                <w:color w:val="6B7280"/>
                <w:sz w:val="16"/>
                <w:szCs w:val="16"/>
              </w:rPr>
              <w:t xml:space="preserve">MÓDULO 1</w:t>
            </w:r>
          </w:p>
          <w:p>
            <w:pPr>
              <w:spacing w:after="80" w:before="0" w:line="276"/>
              <w:jc w:val="left"/>
            </w:pPr>
            <w:r>
              <w:rPr>
                <w:rFonts w:ascii="Arial" w:cs="Arial" w:eastAsia="Arial" w:hAnsi="Arial"/>
                <w:b/>
                <w:bCs/>
                <w:i w:val="false"/>
                <w:iCs w:val="false"/>
                <w:color w:val="F97316"/>
                <w:sz w:val="32"/>
                <w:szCs w:val="32"/>
              </w:rPr>
              <w:t xml:space="preserve">Brand DNA</w:t>
            </w:r>
            <w:r>
              <w:rPr>
                <w:rFonts w:ascii="Arial" w:cs="Arial" w:eastAsia="Arial" w:hAnsi="Arial"/>
                <w:b w:val="false"/>
                <w:bCs w:val="false"/>
                <w:i w:val="false"/>
                <w:iCs w:val="false"/>
                <w:color w:val="374151"/>
                <w:sz w:val="24"/>
                <w:szCs w:val="24"/>
              </w:rPr>
              <w:t xml:space="preserve">  —  Identidad de Marca como Dato Estructurado</w:t>
            </w:r>
          </w:p>
          <w:p>
            <w:pPr>
              <w:spacing w:after="100" w:before="0" w:line="276"/>
              <w:jc w:val="left"/>
            </w:pPr>
            <w:r>
              <w:rPr>
                <w:rFonts w:ascii="Arial" w:cs="Arial" w:eastAsia="Arial" w:hAnsi="Arial"/>
                <w:b w:val="false"/>
                <w:bCs w:val="false"/>
                <w:i w:val="false"/>
                <w:iCs w:val="false"/>
                <w:color w:val="374151"/>
                <w:sz w:val="20"/>
                <w:szCs w:val="20"/>
              </w:rPr>
              <w:t xml:space="preserve">El Brand DNA de PROMETEO convierte la identidad de marca — algo que vive en PDFs de estrategia o en la cabeza del equipo — en un objeto de datos vivo que el sistema puede consultar antes de generar cualquier contenido.</w:t>
            </w:r>
          </w:p>
          <w:p>
            <w:pPr>
              <w:spacing w:after="40" w:before="0" w:line="276"/>
              <w:jc w:val="left"/>
            </w:pPr>
            <w:r>
              <w:rPr>
                <w:rFonts w:ascii="Arial" w:cs="Arial" w:eastAsia="Arial" w:hAnsi="Arial"/>
                <w:b/>
                <w:bCs/>
                <w:i w:val="false"/>
                <w:iCs w:val="false"/>
                <w:color w:val="374151"/>
                <w:sz w:val="18"/>
                <w:szCs w:val="18"/>
              </w:rPr>
              <w:t xml:space="preserve">Campos del schema BrandDNA:</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arquetipo: 12 arquetipos de Jung (El Héroe, El Sabio, El Creador, etc.) — cada uno con sus propios patrones de lenguaje</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tono: definición de voz de marca (formal, conversacional, técnico, inspiracional)</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nivelTecnico: 1-5 escala de complejidad del lenguaje esperado</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promesas: array de propuestas de valor únicas que NUNCA deben omitirse en el copy</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tabús: array de conceptos, palabras o asociaciones que NUNCA deben aparecer</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coloresCore: paleta cromática que define la personalidad visual</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plataformas: canales prioritarios donde opera la marca</w:t>
            </w:r>
          </w:p>
          <w:p>
            <w:pPr>
              <w:spacing w:after="0" w:before="80"/>
            </w:pPr>
          </w:p>
          <w:p>
            <w:pPr>
              <w:spacing w:after="0" w:before="0" w:line="276"/>
              <w:jc w:val="left"/>
            </w:pPr>
            <w:r>
              <w:rPr>
                <w:rFonts w:ascii="Arial" w:cs="Arial" w:eastAsia="Arial" w:hAnsi="Arial"/>
                <w:b w:val="false"/>
                <w:bCs w:val="false"/>
                <w:i/>
                <w:iCs/>
                <w:color w:val="F97316"/>
                <w:sz w:val="18"/>
                <w:szCs w:val="18"/>
              </w:rPr>
              <w:t xml:space="preserve">→ El Brand DNA se publica automáticamente al grafo N.E.X.O. como NexoNode con embedding semántico. Esto significa que SOFIAA chat puede consultar la identidad de cualquier cliente antes de generar copy, sin que el usuario tenga que especificarlo cada vez.</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14B8A6" w:sz="4"/>
              <w:left w:val="single" w:color="14B8A6" w:sz="8"/>
              <w:bottom w:val="single" w:color="14B8A6" w:sz="4"/>
              <w:right w:val="single" w:color="14B8A6" w:sz="4"/>
            </w:tcBorders>
            <w:shd w:fill="F0FDFA" w:val="clear"/>
            <w:tcMar>
              <w:top w:type="dxa" w:w="180"/>
              <w:left w:type="dxa" w:w="240"/>
              <w:bottom w:type="dxa" w:w="180"/>
              <w:right w:type="dxa" w:w="240"/>
            </w:tcMar>
          </w:tcPr>
          <w:p>
            <w:pPr>
              <w:spacing w:after="40" w:before="0" w:line="276"/>
              <w:jc w:val="left"/>
            </w:pPr>
            <w:r>
              <w:rPr>
                <w:rFonts w:ascii="Arial" w:cs="Arial" w:eastAsia="Arial" w:hAnsi="Arial"/>
                <w:b/>
                <w:bCs/>
                <w:i w:val="false"/>
                <w:iCs w:val="false"/>
                <w:color w:val="6B7280"/>
                <w:sz w:val="16"/>
                <w:szCs w:val="16"/>
              </w:rPr>
              <w:t xml:space="preserve">MÓDULO 2</w:t>
            </w:r>
          </w:p>
          <w:p>
            <w:pPr>
              <w:spacing w:after="80" w:before="0" w:line="276"/>
              <w:jc w:val="left"/>
            </w:pPr>
            <w:r>
              <w:rPr>
                <w:rFonts w:ascii="Arial" w:cs="Arial" w:eastAsia="Arial" w:hAnsi="Arial"/>
                <w:b/>
                <w:bCs/>
                <w:i w:val="false"/>
                <w:iCs w:val="false"/>
                <w:color w:val="14B8A6"/>
                <w:sz w:val="32"/>
                <w:szCs w:val="32"/>
              </w:rPr>
              <w:t xml:space="preserve">Goal Engine</w:t>
            </w:r>
            <w:r>
              <w:rPr>
                <w:rFonts w:ascii="Arial" w:cs="Arial" w:eastAsia="Arial" w:hAnsi="Arial"/>
                <w:b w:val="false"/>
                <w:bCs w:val="false"/>
                <w:i w:val="false"/>
                <w:iCs w:val="false"/>
                <w:color w:val="374151"/>
                <w:sz w:val="24"/>
                <w:szCs w:val="24"/>
              </w:rPr>
              <w:t xml:space="preserve">  —  Árbol de Decisión Estratégico</w:t>
            </w:r>
          </w:p>
          <w:p>
            <w:pPr>
              <w:spacing w:after="100" w:before="0" w:line="276"/>
              <w:jc w:val="left"/>
            </w:pPr>
            <w:r>
              <w:rPr>
                <w:rFonts w:ascii="Arial" w:cs="Arial" w:eastAsia="Arial" w:hAnsi="Arial"/>
                <w:b w:val="false"/>
                <w:bCs w:val="false"/>
                <w:i w:val="false"/>
                <w:iCs w:val="false"/>
                <w:color w:val="374151"/>
                <w:sz w:val="20"/>
                <w:szCs w:val="20"/>
              </w:rPr>
              <w:t xml:space="preserve">El Goal Engine es el corazón filosófico de PROMETEO. Antes de generar cualquier campaña, el sistema lleva al usuario a través de un árbol de decisión que garantiza que existe un objetivo de negocio válido, con recursos suficientes y en el canal correcto.</w:t>
            </w:r>
          </w:p>
          <w:p>
            <w:pPr>
              <w:spacing w:after="40" w:before="0" w:line="276"/>
              <w:jc w:val="left"/>
            </w:pPr>
            <w:r>
              <w:rPr>
                <w:rFonts w:ascii="Arial" w:cs="Arial" w:eastAsia="Arial" w:hAnsi="Arial"/>
                <w:b/>
                <w:bCs/>
                <w:i w:val="false"/>
                <w:iCs w:val="false"/>
                <w:color w:val="374151"/>
                <w:sz w:val="18"/>
                <w:szCs w:val="18"/>
              </w:rPr>
              <w:t xml:space="preserve">Árbol de decisión (5 nodos secuenciales):</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Nodo 1 — TIPO DE OBJETIVO: ¿Ventas directas? ¿Leads calificados? ¿Reconocimiento de marca? ¿Retención? Cada tipo activa un path diferente.</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Nodo 2 — PRESUPUESTO: ¿Hay inversión en pauta definida? Si no hay presupuesto de paid, el sistema re-rutea hacia estrategias orgánicas con alcance realista.</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Nodo 3 — INVENTARIO / CAPACIDAD: ¿Hay producto/servicio disponible para absorber la demanda generada? Un objetivo de ventas sin inventario es desperdicio de presupuesto.</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Nodo 4 — CANAL: ¿Cuál es el canal con menor CPA histórico para este cliente? (Consultado desde Creative Memory). Meta Ads, Google, TikTok, LinkedIn, orgánico.</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Nodo 5 — ESTRATEGIA: Solo aquí el sistema genera la estrategia de campaña. Con todos los nodos validados, la estrategia es coherente y accionable.</w:t>
            </w:r>
          </w:p>
          <w:p>
            <w:pPr>
              <w:spacing w:after="0" w:before="80"/>
            </w:pPr>
          </w:p>
          <w:p>
            <w:pPr>
              <w:spacing w:after="0" w:before="0" w:line="276"/>
              <w:jc w:val="left"/>
            </w:pPr>
            <w:r>
              <w:rPr>
                <w:rFonts w:ascii="Arial" w:cs="Arial" w:eastAsia="Arial" w:hAnsi="Arial"/>
                <w:b w:val="false"/>
                <w:bCs w:val="false"/>
                <w:i/>
                <w:iCs/>
                <w:color w:val="14B8A6"/>
                <w:sz w:val="18"/>
                <w:szCs w:val="18"/>
              </w:rPr>
              <w:t xml:space="preserve">Persistencia: BrandGoal + GoalState en Firestore. El sistema trackea el progreso de cada objetivo (kpiActual vs. valorObjetivo) y calcula porcentaje de avance en tiempo real.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A855F7" w:sz="4"/>
              <w:left w:val="single" w:color="A855F7" w:sz="8"/>
              <w:bottom w:val="single" w:color="A855F7" w:sz="4"/>
              <w:right w:val="single" w:color="A855F7" w:sz="4"/>
            </w:tcBorders>
            <w:shd w:fill="F5F3FF" w:val="clear"/>
            <w:tcMar>
              <w:top w:type="dxa" w:w="180"/>
              <w:left w:type="dxa" w:w="240"/>
              <w:bottom w:type="dxa" w:w="180"/>
              <w:right w:type="dxa" w:w="240"/>
            </w:tcMar>
          </w:tcPr>
          <w:p>
            <w:pPr>
              <w:spacing w:after="40" w:before="0" w:line="276"/>
              <w:jc w:val="left"/>
            </w:pPr>
            <w:r>
              <w:rPr>
                <w:rFonts w:ascii="Arial" w:cs="Arial" w:eastAsia="Arial" w:hAnsi="Arial"/>
                <w:b/>
                <w:bCs/>
                <w:i w:val="false"/>
                <w:iCs w:val="false"/>
                <w:color w:val="6B7280"/>
                <w:sz w:val="16"/>
                <w:szCs w:val="16"/>
              </w:rPr>
              <w:t xml:space="preserve">MÓDULO 3</w:t>
            </w:r>
          </w:p>
          <w:p>
            <w:pPr>
              <w:spacing w:after="80" w:before="0" w:line="276"/>
              <w:jc w:val="left"/>
            </w:pPr>
            <w:r>
              <w:rPr>
                <w:rFonts w:ascii="Arial" w:cs="Arial" w:eastAsia="Arial" w:hAnsi="Arial"/>
                <w:b/>
                <w:bCs/>
                <w:i w:val="false"/>
                <w:iCs w:val="false"/>
                <w:color w:val="A855F7"/>
                <w:sz w:val="32"/>
                <w:szCs w:val="32"/>
              </w:rPr>
              <w:t xml:space="preserve">Creative Memory</w:t>
            </w:r>
            <w:r>
              <w:rPr>
                <w:rFonts w:ascii="Arial" w:cs="Arial" w:eastAsia="Arial" w:hAnsi="Arial"/>
                <w:b w:val="false"/>
                <w:bCs w:val="false"/>
                <w:i w:val="false"/>
                <w:iCs w:val="false"/>
                <w:color w:val="374151"/>
                <w:sz w:val="24"/>
                <w:szCs w:val="24"/>
              </w:rPr>
              <w:t xml:space="preserve">  —  Base de Datos de Performance Creativo</w:t>
            </w:r>
          </w:p>
          <w:p>
            <w:pPr>
              <w:spacing w:after="100" w:before="0" w:line="276"/>
              <w:jc w:val="left"/>
            </w:pPr>
            <w:r>
              <w:rPr>
                <w:rFonts w:ascii="Arial" w:cs="Arial" w:eastAsia="Arial" w:hAnsi="Arial"/>
                <w:b w:val="false"/>
                <w:bCs w:val="false"/>
                <w:i w:val="false"/>
                <w:iCs w:val="false"/>
                <w:color w:val="374151"/>
                <w:sz w:val="20"/>
                <w:szCs w:val="20"/>
              </w:rPr>
              <w:t xml:space="preserve">Creative Memory resuelve el problema más caro del marketing: no saber qué funcionó. Es la base de datos histórica de performance creativo — cada hook, formato y canal con sus métricas reales, agregadas en un Performance Score automático.</w:t>
            </w:r>
          </w:p>
          <w:p>
            <w:pPr>
              <w:spacing w:after="40" w:before="0" w:line="276"/>
              <w:jc w:val="left"/>
            </w:pPr>
            <w:r>
              <w:rPr>
                <w:rFonts w:ascii="Arial" w:cs="Arial" w:eastAsia="Arial" w:hAnsi="Arial"/>
                <w:b/>
                <w:bCs/>
                <w:i w:val="false"/>
                <w:iCs w:val="false"/>
                <w:color w:val="374151"/>
                <w:sz w:val="18"/>
                <w:szCs w:val="18"/>
              </w:rPr>
              <w:t xml:space="preserve">Algoritmo de Performance Score (0-100 puntos):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ROAS logrado →  40 puntos máx.  (ROAS ≥ 4x = 40pts, ≥ 3x = 28pts, ≥ 2x = 16pts)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CTR promedio →  30 puntos máx.  (CTR ≥ 5% = 30pts, ≥ 3% = 20pts, ≥ 1% = 10pts)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Conversiones  →  20 puntos máx.  (escala logarítmica sobre meta de conversiones)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Reutilizar    →  10 puntos fijos  (flag manual del equipo: ¿vale la pena reusar?)</w:t>
            </w:r>
          </w:p>
          <w:p>
            <w:pPr>
              <w:spacing w:after="0" w:before="80"/>
            </w:pPr>
          </w:p>
          <w:p>
            <w:pPr>
              <w:spacing w:after="60" w:before="0" w:line="276"/>
              <w:jc w:val="left"/>
            </w:pPr>
            <w:r>
              <w:rPr>
                <w:rFonts w:ascii="Arial" w:cs="Arial" w:eastAsia="Arial" w:hAnsi="Arial"/>
                <w:b w:val="false"/>
                <w:bCs w:val="false"/>
                <w:i w:val="false"/>
                <w:iCs w:val="false"/>
                <w:color w:val="374151"/>
                <w:sz w:val="18"/>
                <w:szCs w:val="18"/>
              </w:rPr>
              <w:t xml:space="preserve">Campos trackeados por creativo: hookType (CIFRA_IMPACTANTE, PREGUNTA_DIRECTA, HISTORIA_BREVE, etc.), canal, formato, fechaCampana, inversionMXN, roasLogrado, ctrPct, cpa, conversiones, observaciones.</w:t>
            </w:r>
          </w:p>
          <w:p>
            <w:pPr>
              <w:spacing w:after="0" w:before="0" w:line="276"/>
              <w:jc w:val="left"/>
            </w:pPr>
            <w:r>
              <w:rPr>
                <w:rFonts w:ascii="Arial" w:cs="Arial" w:eastAsia="Arial" w:hAnsi="Arial"/>
                <w:b w:val="false"/>
                <w:bCs w:val="false"/>
                <w:i/>
                <w:iCs/>
                <w:color w:val="A855F7"/>
                <w:sz w:val="18"/>
                <w:szCs w:val="18"/>
              </w:rPr>
              <w:t xml:space="preserve">→ Creative Memory no es un log. Es la inteligencia de lo que funciona. El Creative Lab la consulta para scoring predictivo antes de generar variantes.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60A5FA" w:sz="4"/>
              <w:left w:val="single" w:color="60A5FA" w:sz="8"/>
              <w:bottom w:val="single" w:color="60A5FA" w:sz="4"/>
              <w:right w:val="single" w:color="60A5FA" w:sz="4"/>
            </w:tcBorders>
            <w:shd w:fill="EFF6FF" w:val="clear"/>
            <w:tcMar>
              <w:top w:type="dxa" w:w="180"/>
              <w:left w:type="dxa" w:w="240"/>
              <w:bottom w:type="dxa" w:w="180"/>
              <w:right w:type="dxa" w:w="240"/>
            </w:tcMar>
          </w:tcPr>
          <w:p>
            <w:pPr>
              <w:spacing w:after="40" w:before="0" w:line="276"/>
              <w:jc w:val="left"/>
            </w:pPr>
            <w:r>
              <w:rPr>
                <w:rFonts w:ascii="Arial" w:cs="Arial" w:eastAsia="Arial" w:hAnsi="Arial"/>
                <w:b/>
                <w:bCs/>
                <w:i w:val="false"/>
                <w:iCs w:val="false"/>
                <w:color w:val="6B7280"/>
                <w:sz w:val="16"/>
                <w:szCs w:val="16"/>
              </w:rPr>
              <w:t xml:space="preserve">MÓDULO 4</w:t>
            </w:r>
          </w:p>
          <w:p>
            <w:pPr>
              <w:spacing w:after="80" w:before="0" w:line="276"/>
              <w:jc w:val="left"/>
            </w:pPr>
            <w:r>
              <w:rPr>
                <w:rFonts w:ascii="Arial" w:cs="Arial" w:eastAsia="Arial" w:hAnsi="Arial"/>
                <w:b/>
                <w:bCs/>
                <w:i w:val="false"/>
                <w:iCs w:val="false"/>
                <w:color w:val="60A5FA"/>
                <w:sz w:val="32"/>
                <w:szCs w:val="32"/>
              </w:rPr>
              <w:t xml:space="preserve">Creative Lab</w:t>
            </w:r>
            <w:r>
              <w:rPr>
                <w:rFonts w:ascii="Arial" w:cs="Arial" w:eastAsia="Arial" w:hAnsi="Arial"/>
                <w:b w:val="false"/>
                <w:bCs w:val="false"/>
                <w:i w:val="false"/>
                <w:iCs w:val="false"/>
                <w:color w:val="374151"/>
                <w:sz w:val="24"/>
                <w:szCs w:val="24"/>
              </w:rPr>
              <w:t xml:space="preserve">  —  Generador de Variantes con IA y Scoring Predictivo</w:t>
            </w:r>
          </w:p>
          <w:p>
            <w:pPr>
              <w:spacing w:after="100" w:before="0" w:line="276"/>
              <w:jc w:val="left"/>
            </w:pPr>
            <w:r>
              <w:rPr>
                <w:rFonts w:ascii="Arial" w:cs="Arial" w:eastAsia="Arial" w:hAnsi="Arial"/>
                <w:b w:val="false"/>
                <w:bCs w:val="false"/>
                <w:i w:val="false"/>
                <w:iCs w:val="false"/>
                <w:color w:val="374151"/>
                <w:sz w:val="20"/>
                <w:szCs w:val="20"/>
              </w:rPr>
              <w:t xml:space="preserve">El Creative Lab cierra el loop entre datos históricos y creatividad. Genera combinaciones de hooks × CTAs × ofertas usando Groq, pero antes de mostrarlas, las puntúa con datos reales de Creative Memory para predecir su performance.</w:t>
            </w:r>
          </w:p>
          <w:p>
            <w:pPr>
              <w:spacing w:after="40" w:before="0" w:line="276"/>
              <w:jc w:val="left"/>
            </w:pPr>
            <w:r>
              <w:rPr>
                <w:rFonts w:ascii="Arial" w:cs="Arial" w:eastAsia="Arial" w:hAnsi="Arial"/>
                <w:b/>
                <w:bCs/>
                <w:i w:val="false"/>
                <w:iCs w:val="false"/>
                <w:color w:val="374151"/>
                <w:sz w:val="18"/>
                <w:szCs w:val="18"/>
              </w:rPr>
              <w:t xml:space="preserve">Flujo de generación:</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Input: objetivo de campaña + canal + formato + industria + notas adicionales</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Consulta Creative Memory: busca el histórico de performance de ese hookType × canal para ese cliente</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calcPredictiveScores(): genera score predictivo 0-100 basado en ROAS histórico del hook en ese canal</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Groq genera 6 variantes: JSON estructurado con hook, CTA, oferta, formato, canal, copy completo, justificación estratégica</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Cada variante muestra: score circle, barras de ROAS estimado y engagement estimado, badge de hook type</w:t>
            </w:r>
          </w:p>
          <w:p>
            <w:pPr>
              <w:spacing w:after="60" w:before="60"/>
              <w:ind w:left="431" w:hanging="288"/>
            </w:pPr>
            <w:r>
              <w:rPr>
                <w:rFonts w:ascii="Arial" w:cs="Arial" w:eastAsia="Arial" w:hAnsi="Arial"/>
                <w:b/>
                <w:bCs/>
                <w:i w:val="false"/>
                <w:iCs w:val="false"/>
                <w:color w:val="60A5FA"/>
                <w:sz w:val="20"/>
                <w:szCs w:val="20"/>
              </w:rPr>
              <w:t xml:space="preserve">• </w:t>
            </w:r>
            <w:r>
              <w:rPr>
                <w:rFonts w:ascii="Arial" w:cs="Arial" w:eastAsia="Arial" w:hAnsi="Arial"/>
                <w:b w:val="false"/>
                <w:bCs w:val="false"/>
                <w:i w:val="false"/>
                <w:iCs w:val="false"/>
                <w:color w:val="374151"/>
                <w:sz w:val="20"/>
                <w:szCs w:val="20"/>
              </w:rPr>
              <w:t xml:space="preserve">El usuario selecciona variantes para guardar en la sesión de Lab — historial persistente en prometeo_creative_labs</w:t>
            </w:r>
          </w:p>
          <w:p>
            <w:pPr>
              <w:spacing w:after="0" w:before="80"/>
            </w:pPr>
          </w:p>
          <w:p>
            <w:pPr>
              <w:spacing w:after="60" w:before="0" w:line="276"/>
              <w:jc w:val="left"/>
            </w:pPr>
            <w:r>
              <w:rPr>
                <w:rFonts w:ascii="Arial" w:cs="Arial" w:eastAsia="Arial" w:hAnsi="Arial"/>
                <w:b w:val="false"/>
                <w:bCs w:val="false"/>
                <w:i w:val="false"/>
                <w:iCs w:val="false"/>
                <w:color w:val="374151"/>
                <w:sz w:val="18"/>
                <w:szCs w:val="18"/>
              </w:rPr>
              <w:t xml:space="preserve">Tipos de hooks disponibles: CIFRA_IMPACTANTE, PREGUNTA_DIRECTA, HISTORIA_BREVE, BENEFICIO_CLARO, URGENCIA, SOCIAL_PROOF, RETO, COMPARACION, SECRETO_REVELADO, MIEDO, ASPIRACION, ESCASEZ.</w:t>
            </w:r>
          </w:p>
          <w:p>
            <w:pPr>
              <w:spacing w:after="0" w:before="0" w:line="276"/>
              <w:jc w:val="left"/>
            </w:pPr>
            <w:r>
              <w:rPr>
                <w:rFonts w:ascii="Arial" w:cs="Arial" w:eastAsia="Arial" w:hAnsi="Arial"/>
                <w:b w:val="false"/>
                <w:bCs w:val="false"/>
                <w:i/>
                <w:iCs/>
                <w:color w:val="60A5FA"/>
                <w:sz w:val="18"/>
                <w:szCs w:val="18"/>
              </w:rPr>
              <w:t xml:space="preserve">→ El Creative Lab no inventa creativos al azar. Genera variantes informadas por datos reales de performance histórico del cliente.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EAB308" w:sz="4"/>
              <w:left w:val="single" w:color="EAB308" w:sz="8"/>
              <w:bottom w:val="single" w:color="EAB308" w:sz="4"/>
              <w:right w:val="single" w:color="EAB308" w:sz="4"/>
            </w:tcBorders>
            <w:shd w:fill="FEFCE8" w:val="clear"/>
            <w:tcMar>
              <w:top w:type="dxa" w:w="180"/>
              <w:left w:type="dxa" w:w="240"/>
              <w:bottom w:type="dxa" w:w="180"/>
              <w:right w:type="dxa" w:w="240"/>
            </w:tcMar>
          </w:tcPr>
          <w:p>
            <w:pPr>
              <w:spacing w:after="40" w:before="0" w:line="276"/>
              <w:jc w:val="left"/>
            </w:pPr>
            <w:r>
              <w:rPr>
                <w:rFonts w:ascii="Arial" w:cs="Arial" w:eastAsia="Arial" w:hAnsi="Arial"/>
                <w:b/>
                <w:bCs/>
                <w:i w:val="false"/>
                <w:iCs w:val="false"/>
                <w:color w:val="6B7280"/>
                <w:sz w:val="16"/>
                <w:szCs w:val="16"/>
              </w:rPr>
              <w:t xml:space="preserve">MÓDULO 5</w:t>
            </w:r>
          </w:p>
          <w:p>
            <w:pPr>
              <w:spacing w:after="80" w:before="0" w:line="276"/>
              <w:jc w:val="left"/>
            </w:pPr>
            <w:r>
              <w:rPr>
                <w:rFonts w:ascii="Arial" w:cs="Arial" w:eastAsia="Arial" w:hAnsi="Arial"/>
                <w:b/>
                <w:bCs/>
                <w:i w:val="false"/>
                <w:iCs w:val="false"/>
                <w:color w:val="EAB308"/>
                <w:sz w:val="32"/>
                <w:szCs w:val="32"/>
              </w:rPr>
              <w:t xml:space="preserve">Director Autónomo</w:t>
            </w:r>
            <w:r>
              <w:rPr>
                <w:rFonts w:ascii="Arial" w:cs="Arial" w:eastAsia="Arial" w:hAnsi="Arial"/>
                <w:b w:val="false"/>
                <w:bCs w:val="false"/>
                <w:i w:val="false"/>
                <w:iCs w:val="false"/>
                <w:color w:val="374151"/>
                <w:sz w:val="24"/>
                <w:szCs w:val="24"/>
              </w:rPr>
              <w:t xml:space="preserve">  —  Brief Matutino con Detección de Fatiga e Inteligencia de Acción</w:t>
            </w:r>
          </w:p>
          <w:p>
            <w:pPr>
              <w:spacing w:after="100" w:before="0" w:line="276"/>
              <w:jc w:val="left"/>
            </w:pPr>
            <w:r>
              <w:rPr>
                <w:rFonts w:ascii="Arial" w:cs="Arial" w:eastAsia="Arial" w:hAnsi="Arial"/>
                <w:b w:val="false"/>
                <w:bCs w:val="false"/>
                <w:i w:val="false"/>
                <w:iCs w:val="false"/>
                <w:color w:val="374151"/>
                <w:sz w:val="20"/>
                <w:szCs w:val="20"/>
              </w:rPr>
              <w:t xml:space="preserve">El Director Autónomo es la capa ejecutiva de PROMETEO. Analiza el estado completo del workspace — objetivos activos, memoria creativa reciente, performance por cliente — y genera un brief de acción priorizado por urgencia. Es el primer mensaje del día que un CMO debería leer.</w:t>
            </w:r>
          </w:p>
          <w:p>
            <w:pPr>
              <w:spacing w:after="40" w:before="0" w:line="276"/>
              <w:jc w:val="left"/>
            </w:pPr>
            <w:r>
              <w:rPr>
                <w:rFonts w:ascii="Arial" w:cs="Arial" w:eastAsia="Arial" w:hAnsi="Arial"/>
                <w:b/>
                <w:bCs/>
                <w:i w:val="false"/>
                <w:iCs w:val="false"/>
                <w:color w:val="374151"/>
                <w:sz w:val="18"/>
                <w:szCs w:val="18"/>
              </w:rPr>
              <w:t xml:space="preserve">¿Qué analiza el Director?</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Objetivos activos: ¿cuáles tienen &lt; 50% de avance y &lt; 7 días al cierre? → FATIGA detectada</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Clientes sin objetivo registrado: ¿cuántos clientes activos no tienen un BrandGoal asignado?</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ROAS promedio del workspace: promedio ponderado de todos los creativos en Creative Memory</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Top performers recientes: ¿qué hooks, canales y formatos están generando mayor retorno esta semana?</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Análisis Groq: todos estos datos van al LLM como contexto estructurado → genera recomendaciones en JSON</w:t>
            </w:r>
          </w:p>
          <w:p>
            <w:pPr>
              <w:spacing w:after="0" w:before="80"/>
            </w:pPr>
          </w:p>
          <w:p>
            <w:pPr>
              <w:spacing w:after="60" w:before="0" w:line="276"/>
              <w:jc w:val="left"/>
            </w:pPr>
            <w:r>
              <w:rPr>
                <w:rFonts w:ascii="Arial" w:cs="Arial" w:eastAsia="Arial" w:hAnsi="Arial"/>
                <w:b w:val="false"/>
                <w:bCs w:val="false"/>
                <w:i w:val="false"/>
                <w:iCs w:val="false"/>
                <w:color w:val="374151"/>
                <w:sz w:val="18"/>
                <w:szCs w:val="18"/>
              </w:rPr>
              <w:t xml:space="preserve">Output del brief: recomendaciones ordenadas por urgencia (ALTA → MEDIA → BAJA) con cliente, descripción, acción sugerida + oportunidades detectadas con potencial estimado.</w:t>
            </w:r>
          </w:p>
          <w:p>
            <w:pPr>
              <w:spacing w:after="0" w:before="0" w:line="276"/>
              <w:jc w:val="left"/>
            </w:pPr>
            <w:r>
              <w:rPr>
                <w:rFonts w:ascii="Arial" w:cs="Arial" w:eastAsia="Arial" w:hAnsi="Arial"/>
                <w:b w:val="false"/>
                <w:bCs w:val="false"/>
                <w:i/>
                <w:iCs/>
                <w:color w:val="EAB308"/>
                <w:sz w:val="18"/>
                <w:szCs w:val="18"/>
              </w:rPr>
              <w:t xml:space="preserve">detectarFatiga(): objetivos con kpiActual &lt; 50% de valorObjetivo Y fechaLimite &lt; 7 días desde hoy. Los marca como ALERTA en el brief para acción inmediata.</w:t>
            </w:r>
          </w:p>
        </w:tc>
      </w:tr>
    </w:tbl>
    <w:p>
      <w:pPr>
        <w:spacing w:after="0" w:before="300"/>
      </w:pPr>
    </w:p>
    <w:p>
      <w:r>
        <w:br w:type="page"/>
      </w:r>
    </w:p>
    <w:p>
      <w:pPr>
        <w:pStyle w:val="Heading1"/>
        <w:spacing w:after="160" w:before="360"/>
      </w:pPr>
      <w:r>
        <w:rPr>
          <w:rFonts w:ascii="Arial" w:cs="Arial" w:eastAsia="Arial" w:hAnsi="Arial"/>
          <w:b/>
          <w:bCs/>
          <w:i w:val="false"/>
          <w:iCs w:val="false"/>
          <w:color w:val="374151"/>
          <w:sz w:val="34"/>
          <w:szCs w:val="34"/>
        </w:rPr>
        <w:t xml:space="preserve">4. Extension Tools — PROMETEO en el Chat de SOFIAA</w:t>
      </w:r>
    </w:p>
    <w:p>
      <w:pPr>
        <w:spacing w:after="160" w:before="0" w:line="276"/>
        <w:jc w:val="left"/>
      </w:pPr>
      <w:r>
        <w:rPr>
          <w:rFonts w:ascii="Arial" w:cs="Arial" w:eastAsia="Arial" w:hAnsi="Arial"/>
          <w:b w:val="false"/>
          <w:bCs w:val="false"/>
          <w:i w:val="false"/>
          <w:iCs w:val="false"/>
          <w:color w:val="374151"/>
          <w:sz w:val="20"/>
          <w:szCs w:val="20"/>
        </w:rPr>
        <w:t xml:space="preserve">Los Extension Tools son el puente entre PROMETEO y el chat conversacional de SOFIAA. Permiten que el usuario consulte objetivos, creativos, genere variantes o pida el brief del día usando lenguaje natural — sin abrir ninguna pantalla de PROMETEO. SOFIAA llama a estas herramientas automáticamente cuando detecta la intención correcta.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800"/>
        <w:gridCol w:w="49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Tool</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Trigger natural</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¿Qué hace?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consultar_objetivos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"¿qué objetivos tenemos activos?"</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Lista BrandGoals activos con kpiActual, progreso %, fechaLimite y estado de fatiga detectado.</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consultar_brand_dna</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"antes de generar copy para Cliente X"</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Recupera el Brand DNA del cliente: arquetipo, tono, promesas, tabús. SOFIAA lo inyecta como contexto antes de cualquier generación de copy.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registrar_objetivo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"crea un objetivo de ventas para..."</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Crea un BrandGoal desde el chat: tipo, valorObjetivo, unidad, fechaLimite, presupuesto. Sin abrir la UI.</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consultar_creative_memory</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"¿qué hooks funcionaron mejor?"</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Top 10 creativos por performanceScore. Filtra por canal o hookType si se especifica. Muestra ROAS, CTR y score.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generar_variantes_lab</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"dame ideas creativas para..."</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Llama a /api/prometeo/creative-lab/generate con los parámetros del chat. Devuelve las 3 mejores variantes con score y justificación.</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generar_brief_director</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"¿qué hago hoy?", "diagnóstico"</w:t>
            </w:r>
          </w:p>
        </w:tc>
        <w:tc>
          <w:tcPr>
            <w:tcW w:type="dxa" w:w="49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 un DirectorBrief completo: análisis del workspace, recomendaciones urgentes, oportunidades detectadas.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FDBFE" w:sz="4"/>
              <w:left w:val="single" w:color="BFDBFE" w:sz="8"/>
              <w:bottom w:val="single" w:color="BFDBFE" w:sz="4"/>
              <w:right w:val="single" w:color="BFDBFE" w:sz="4"/>
            </w:tcBorders>
            <w:shd w:fill="EFF6FF" w:val="clear"/>
            <w:tcMar>
              <w:top w:type="dxa" w:w="180"/>
              <w:left w:type="dxa" w:w="240"/>
              <w:bottom w:type="dxa" w:w="180"/>
              <w:right w:type="dxa" w:w="240"/>
            </w:tcMar>
          </w:tcPr>
          <w:p>
            <w:pPr>
              <w:spacing w:after="60" w:before="0" w:line="276"/>
              <w:jc w:val="left"/>
            </w:pPr>
            <w:r>
              <w:rPr>
                <w:rFonts w:ascii="Arial" w:cs="Arial" w:eastAsia="Arial" w:hAnsi="Arial"/>
                <w:b/>
                <w:bCs/>
                <w:i w:val="false"/>
                <w:iCs w:val="false"/>
                <w:color w:val="1E3A5F"/>
                <w:sz w:val="20"/>
                <w:szCs w:val="20"/>
              </w:rPr>
              <w:t xml:space="preserve">Política de seguridad — resolveWorkspace()</w:t>
            </w:r>
          </w:p>
          <w:p>
            <w:pPr>
              <w:spacing w:after="0" w:before="0" w:line="276"/>
              <w:jc w:val="left"/>
            </w:pPr>
            <w:r>
              <w:rPr>
                <w:rFonts w:ascii="Arial" w:cs="Arial" w:eastAsia="Arial" w:hAnsi="Arial"/>
                <w:b w:val="false"/>
                <w:bCs w:val="false"/>
                <w:i w:val="false"/>
                <w:iCs w:val="false"/>
                <w:color w:val="374151"/>
                <w:sz w:val="18"/>
                <w:szCs w:val="18"/>
              </w:rPr>
              <w:t xml:space="preserve">Cada tool de PROMETEO verifica el workspaceId activo antes de consultar datos. Si el LLM no especifica un workspace, el sistema hace auto-fetch del primer workspace disponible en smm_workspaces. Esto garantiza que el contexto siempre es el correcto y que no hay cross-contamination entre datos de diferentes clientes.</w:t>
            </w:r>
          </w:p>
        </w:tc>
      </w:tr>
    </w:tbl>
    <w:p>
      <w:pPr>
        <w:spacing w:after="0" w:before="300"/>
      </w:pPr>
    </w:p>
    <w:p>
      <w:r>
        <w:br w:type="page"/>
      </w:r>
    </w:p>
    <w:p>
      <w:pPr>
        <w:pStyle w:val="Heading1"/>
        <w:spacing w:after="160" w:before="360"/>
      </w:pPr>
      <w:r>
        <w:rPr>
          <w:rFonts w:ascii="Arial" w:cs="Arial" w:eastAsia="Arial" w:hAnsi="Arial"/>
          <w:b/>
          <w:bCs/>
          <w:i w:val="false"/>
          <w:iCs w:val="false"/>
          <w:color w:val="374151"/>
          <w:sz w:val="34"/>
          <w:szCs w:val="34"/>
        </w:rPr>
        <w:t xml:space="preserve">5. Por qué PROMETEO es especialmente potente corriendo sobre SOFIAA OS</w:t>
      </w:r>
    </w:p>
    <w:p>
      <w:pPr>
        <w:spacing w:after="160" w:before="0" w:line="276"/>
        <w:jc w:val="left"/>
      </w:pPr>
      <w:r>
        <w:rPr>
          <w:rFonts w:ascii="Arial" w:cs="Arial" w:eastAsia="Arial" w:hAnsi="Arial"/>
          <w:b w:val="false"/>
          <w:bCs w:val="false"/>
          <w:i w:val="false"/>
          <w:iCs w:val="false"/>
          <w:color w:val="374151"/>
          <w:sz w:val="20"/>
          <w:szCs w:val="20"/>
        </w:rPr>
        <w:t xml:space="preserve">PROMETEO solo es la mitad de la historia. La otra mitad es la infraestructura sobre la que corre. Corriendo como extensión nativa de SOFIAA OS, PROMETEO tiene acceso a capacidades que ninguna herramienta de marketing-as-a-service puede replicar.</w:t>
      </w:r>
    </w:p>
    <w:p>
      <w:pPr>
        <w:pStyle w:val="Heading2"/>
        <w:spacing w:after="160" w:before="360"/>
      </w:pPr>
      <w:r>
        <w:rPr>
          <w:rFonts w:ascii="Arial" w:cs="Arial" w:eastAsia="Arial" w:hAnsi="Arial"/>
          <w:b/>
          <w:bCs/>
          <w:i w:val="false"/>
          <w:iCs w:val="false"/>
          <w:color w:val="1E3A5F"/>
          <w:sz w:val="26"/>
          <w:szCs w:val="26"/>
        </w:rPr>
        <w:t xml:space="preserve">5.1 Integración con el grafo N.E.X.O.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BFDBFE" w:sz="4"/>
              <w:left w:val="single" w:color="BFDBFE" w:sz="8"/>
              <w:bottom w:val="single" w:color="BFDBFE" w:sz="4"/>
              <w:right w:val="single" w:color="BFDBFE" w:sz="4"/>
            </w:tcBorders>
            <w:shd w:fill="EFF6FF" w:val="clear"/>
            <w:tcMar>
              <w:top w:type="dxa" w:w="180"/>
              <w:left w:type="dxa" w:w="240"/>
              <w:bottom w:type="dxa" w:w="180"/>
              <w:right w:type="dxa" w:w="240"/>
            </w:tcMar>
          </w:tcPr>
          <w:p>
            <w:pPr>
              <w:spacing w:after="80" w:before="0" w:line="276"/>
              <w:jc w:val="left"/>
            </w:pPr>
            <w:r>
              <w:rPr>
                <w:rFonts w:ascii="Arial" w:cs="Arial" w:eastAsia="Arial" w:hAnsi="Arial"/>
                <w:b w:val="false"/>
                <w:bCs w:val="false"/>
                <w:i w:val="false"/>
                <w:iCs w:val="false"/>
                <w:color w:val="374151"/>
                <w:sz w:val="20"/>
                <w:szCs w:val="20"/>
              </w:rPr>
              <w:t xml:space="preserve">N.E.X.O. es el grafo de conocimiento semántico de SOFIAA OS — una red de nodos con embeddings de 3,072 dimensiones que decaen orgánicamente y se refuerzan con el uso.</w:t>
            </w:r>
          </w:p>
          <w:p>
            <w:pPr>
              <w:spacing w:after="40" w:before="0" w:line="276"/>
              <w:jc w:val="left"/>
            </w:pPr>
            <w:r>
              <w:rPr>
                <w:rFonts w:ascii="Arial" w:cs="Arial" w:eastAsia="Arial" w:hAnsi="Arial"/>
                <w:b/>
                <w:bCs/>
                <w:i w:val="false"/>
                <w:iCs w:val="false"/>
                <w:color w:val="1E3A5F"/>
                <w:sz w:val="18"/>
                <w:szCs w:val="18"/>
              </w:rPr>
              <w:t xml:space="preserve">¿Qué significa esto para PROMETEO?</w:t>
            </w:r>
          </w:p>
          <w:p>
            <w:pPr>
              <w:spacing w:after="60" w:before="60"/>
              <w:ind w:left="431" w:hanging="288"/>
            </w:pPr>
            <w:r>
              <w:rPr>
                <w:rFonts w:ascii="Arial" w:cs="Arial" w:eastAsia="Arial" w:hAnsi="Arial"/>
                <w:b/>
                <w:bCs/>
                <w:i w:val="false"/>
                <w:iCs w:val="false"/>
                <w:color w:val="1E3A5F"/>
                <w:sz w:val="20"/>
                <w:szCs w:val="20"/>
              </w:rPr>
              <w:t xml:space="preserve">• </w:t>
            </w:r>
            <w:r>
              <w:rPr>
                <w:rFonts w:ascii="Arial" w:cs="Arial" w:eastAsia="Arial" w:hAnsi="Arial"/>
                <w:b w:val="false"/>
                <w:bCs w:val="false"/>
                <w:i w:val="false"/>
                <w:iCs w:val="false"/>
                <w:color w:val="374151"/>
                <w:sz w:val="20"/>
                <w:szCs w:val="20"/>
              </w:rPr>
              <w:t xml:space="preserve">El Brand DNA de cada cliente se publica como NexoNode → SOFIAA lo recuerda permanentemente sin que el usuario tenga que repetirlo</w:t>
            </w:r>
          </w:p>
          <w:p>
            <w:pPr>
              <w:spacing w:after="60" w:before="60"/>
              <w:ind w:left="431" w:hanging="288"/>
            </w:pPr>
            <w:r>
              <w:rPr>
                <w:rFonts w:ascii="Arial" w:cs="Arial" w:eastAsia="Arial" w:hAnsi="Arial"/>
                <w:b/>
                <w:bCs/>
                <w:i w:val="false"/>
                <w:iCs w:val="false"/>
                <w:color w:val="1E3A5F"/>
                <w:sz w:val="20"/>
                <w:szCs w:val="20"/>
              </w:rPr>
              <w:t xml:space="preserve">• </w:t>
            </w:r>
            <w:r>
              <w:rPr>
                <w:rFonts w:ascii="Arial" w:cs="Arial" w:eastAsia="Arial" w:hAnsi="Arial"/>
                <w:b w:val="false"/>
                <w:bCs w:val="false"/>
                <w:i w:val="false"/>
                <w:iCs w:val="false"/>
                <w:color w:val="374151"/>
                <w:sz w:val="20"/>
                <w:szCs w:val="20"/>
              </w:rPr>
              <w:t xml:space="preserve">hybridScore = cosine × 0.65 + weight × 0.35: cuando SOFIAA responde sobre una marca, el contexto de su DNA aparece automáticamente si el score es ≥ 0.65</w:t>
            </w:r>
          </w:p>
          <w:p>
            <w:pPr>
              <w:spacing w:after="60" w:before="60"/>
              <w:ind w:left="431" w:hanging="288"/>
            </w:pPr>
            <w:r>
              <w:rPr>
                <w:rFonts w:ascii="Arial" w:cs="Arial" w:eastAsia="Arial" w:hAnsi="Arial"/>
                <w:b/>
                <w:bCs/>
                <w:i w:val="false"/>
                <w:iCs w:val="false"/>
                <w:color w:val="1E3A5F"/>
                <w:sz w:val="20"/>
                <w:szCs w:val="20"/>
              </w:rPr>
              <w:t xml:space="preserve">• </w:t>
            </w:r>
            <w:r>
              <w:rPr>
                <w:rFonts w:ascii="Arial" w:cs="Arial" w:eastAsia="Arial" w:hAnsi="Arial"/>
                <w:b w:val="false"/>
                <w:bCs w:val="false"/>
                <w:i w:val="false"/>
                <w:iCs w:val="false"/>
                <w:color w:val="374151"/>
                <w:sz w:val="20"/>
                <w:szCs w:val="20"/>
              </w:rPr>
              <w:t xml:space="preserve">Los objetivos activos se pueden cruzar con datos de TEC Bii (financiero) via cross-domain reasoning: ¿tiene el cliente flujo de caja para sostener el presupuesto de la campaña?</w:t>
            </w:r>
          </w:p>
          <w:p>
            <w:pPr>
              <w:spacing w:after="60" w:before="60"/>
              <w:ind w:left="431" w:hanging="288"/>
            </w:pPr>
            <w:r>
              <w:rPr>
                <w:rFonts w:ascii="Arial" w:cs="Arial" w:eastAsia="Arial" w:hAnsi="Arial"/>
                <w:b/>
                <w:bCs/>
                <w:i w:val="false"/>
                <w:iCs w:val="false"/>
                <w:color w:val="1E3A5F"/>
                <w:sz w:val="20"/>
                <w:szCs w:val="20"/>
              </w:rPr>
              <w:t xml:space="preserve">• </w:t>
            </w:r>
            <w:r>
              <w:rPr>
                <w:rFonts w:ascii="Arial" w:cs="Arial" w:eastAsia="Arial" w:hAnsi="Arial"/>
                <w:b w:val="false"/>
                <w:bCs w:val="false"/>
                <w:i w:val="false"/>
                <w:iCs w:val="false"/>
                <w:color w:val="374151"/>
                <w:sz w:val="20"/>
                <w:szCs w:val="20"/>
              </w:rPr>
              <w:t xml:space="preserve">La Creative Memory alimenta el grafo con patrones de performance → el sistema aprende qué funciona para cada industria y tipo de audiencia</w:t>
            </w:r>
          </w:p>
        </w:tc>
      </w:tr>
    </w:tbl>
    <w:p>
      <w:pPr>
        <w:spacing w:after="0" w:before="120"/>
      </w:pPr>
    </w:p>
    <w:p>
      <w:pPr>
        <w:pStyle w:val="Heading2"/>
        <w:spacing w:after="160" w:before="360"/>
      </w:pPr>
      <w:r>
        <w:rPr>
          <w:rFonts w:ascii="Arial" w:cs="Arial" w:eastAsia="Arial" w:hAnsi="Arial"/>
          <w:b/>
          <w:bCs/>
          <w:i w:val="false"/>
          <w:iCs w:val="false"/>
          <w:color w:val="1E3A5F"/>
          <w:sz w:val="26"/>
          <w:szCs w:val="26"/>
        </w:rPr>
        <w:t xml:space="preserve">5.2 LLM Orchestrator con fallback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ED7AA" w:sz="4"/>
              <w:left w:val="single" w:color="FED7AA" w:sz="8"/>
              <w:bottom w:val="single" w:color="FED7AA" w:sz="4"/>
              <w:right w:val="single" w:color="FED7AA" w:sz="4"/>
            </w:tcBorders>
            <w:shd w:fill="FFF7ED" w:val="clear"/>
            <w:tcMar>
              <w:top w:type="dxa" w:w="180"/>
              <w:left w:type="dxa" w:w="240"/>
              <w:bottom w:type="dxa" w:w="180"/>
              <w:right w:type="dxa" w:w="240"/>
            </w:tcMar>
          </w:tcPr>
          <w:p>
            <w:pPr>
              <w:spacing w:after="80" w:before="0" w:line="276"/>
              <w:jc w:val="left"/>
            </w:pPr>
            <w:r>
              <w:rPr>
                <w:rFonts w:ascii="Arial" w:cs="Arial" w:eastAsia="Arial" w:hAnsi="Arial"/>
                <w:b w:val="false"/>
                <w:bCs w:val="false"/>
                <w:i w:val="false"/>
                <w:iCs w:val="false"/>
                <w:color w:val="374151"/>
                <w:sz w:val="20"/>
                <w:szCs w:val="20"/>
              </w:rPr>
              <w:t xml:space="preserve">SOFIAA OS no depende de un solo proveedor de LLM. El LLM Orchestrator enruta las tareas de PROMETEO al modelo más eficiente según el tipo de tarea:</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Generación de variantes creativas → Groq llama-3.3-70b-versatile (latencia &lt; 800ms, JSON mode)</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Brief del Director Autónomo → Groq con contexto estructurado de objetivos y memoria</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Fallback automático si Groq falla: variantes predeterminadas basadas en templates de la Creative Memory</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JSON mode estricto: todos los outputs de PROMETEO son JSON validado — cero alucinaciones en datos numéricos (scores, ROAS, fechas)</w:t>
            </w:r>
          </w:p>
        </w:tc>
      </w:tr>
    </w:tbl>
    <w:p>
      <w:pPr>
        <w:spacing w:after="0" w:before="120"/>
      </w:pPr>
    </w:p>
    <w:p>
      <w:pPr>
        <w:pStyle w:val="Heading2"/>
        <w:spacing w:after="160" w:before="360"/>
      </w:pPr>
      <w:r>
        <w:rPr>
          <w:rFonts w:ascii="Arial" w:cs="Arial" w:eastAsia="Arial" w:hAnsi="Arial"/>
          <w:b/>
          <w:bCs/>
          <w:i w:val="false"/>
          <w:iCs w:val="false"/>
          <w:color w:val="1E3A5F"/>
          <w:sz w:val="26"/>
          <w:szCs w:val="26"/>
        </w:rPr>
        <w:t xml:space="preserve">5.3 Capability Gateway — RBAC por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99F6E4" w:sz="4"/>
              <w:left w:val="single" w:color="99F6E4" w:sz="8"/>
              <w:bottom w:val="single" w:color="99F6E4" w:sz="4"/>
              <w:right w:val="single" w:color="99F6E4" w:sz="4"/>
            </w:tcBorders>
            <w:shd w:fill="F0FDFA" w:val="clear"/>
            <w:tcMar>
              <w:top w:type="dxa" w:w="180"/>
              <w:left w:type="dxa" w:w="240"/>
              <w:bottom w:type="dxa" w:w="180"/>
              <w:right w:type="dxa" w:w="240"/>
            </w:tcMar>
          </w:tcPr>
          <w:p>
            <w:pPr>
              <w:spacing w:after="80" w:before="0" w:line="276"/>
              <w:jc w:val="left"/>
            </w:pPr>
            <w:r>
              <w:rPr>
                <w:rFonts w:ascii="Arial" w:cs="Arial" w:eastAsia="Arial" w:hAnsi="Arial"/>
                <w:b w:val="false"/>
                <w:bCs w:val="false"/>
                <w:i w:val="false"/>
                <w:iCs w:val="false"/>
                <w:color w:val="374151"/>
                <w:sz w:val="20"/>
                <w:szCs w:val="20"/>
              </w:rPr>
              <w:t xml:space="preserve">SOFIAA OS incluye un Capability Gateway que controla qué datos puede consultar cada extensión según el rol del usuario. Para PROMETEO esto significa:</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Cada workspace tiene sus propias colecciones de PROMETEO — los datos de un cliente nunca se mezclan con los de otro</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Las API routes verifican Bearer token en cada request — sin auth, cero acceso a datos</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Admin puede consultar datos de cualquier extensión para diagnóstico; usuarios normales solo ven su workspace</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El resolveWorkspace() garantiza que las queries siempre apuntan al workspace correcto, incluso desde el chat conversacional</w:t>
            </w:r>
          </w:p>
        </w:tc>
      </w:tr>
    </w:tbl>
    <w:p>
      <w:pPr>
        <w:spacing w:after="0" w:before="120"/>
      </w:pPr>
    </w:p>
    <w:p>
      <w:pPr>
        <w:pStyle w:val="Heading2"/>
        <w:spacing w:after="160" w:before="360"/>
      </w:pPr>
      <w:r>
        <w:rPr>
          <w:rFonts w:ascii="Arial" w:cs="Arial" w:eastAsia="Arial" w:hAnsi="Arial"/>
          <w:b/>
          <w:bCs/>
          <w:i w:val="false"/>
          <w:iCs w:val="false"/>
          <w:color w:val="1E3A5F"/>
          <w:sz w:val="26"/>
          <w:szCs w:val="26"/>
        </w:rPr>
        <w:t xml:space="preserve">5.4 Cross-domain reasoning con TEC Bii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DD6FE" w:sz="4"/>
              <w:left w:val="single" w:color="DDD6FE" w:sz="8"/>
              <w:bottom w:val="single" w:color="DDD6FE" w:sz="4"/>
              <w:right w:val="single" w:color="DDD6FE" w:sz="4"/>
            </w:tcBorders>
            <w:shd w:fill="F5F3FF" w:val="clear"/>
            <w:tcMar>
              <w:top w:type="dxa" w:w="180"/>
              <w:left w:type="dxa" w:w="240"/>
              <w:bottom w:type="dxa" w:w="180"/>
              <w:right w:type="dxa" w:w="240"/>
            </w:tcMar>
          </w:tcPr>
          <w:p>
            <w:pPr>
              <w:spacing w:after="80" w:before="0" w:line="276"/>
              <w:jc w:val="left"/>
            </w:pPr>
            <w:r>
              <w:rPr>
                <w:rFonts w:ascii="Arial" w:cs="Arial" w:eastAsia="Arial" w:hAnsi="Arial"/>
                <w:b w:val="false"/>
                <w:bCs w:val="false"/>
                <w:i w:val="false"/>
                <w:iCs w:val="false"/>
                <w:color w:val="374151"/>
                <w:sz w:val="20"/>
                <w:szCs w:val="20"/>
              </w:rPr>
              <w:t xml:space="preserve">TEC Bii es la extensión de inteligencia institucional de SOFIAA OS. Su cross-domain reasoning usa cosine similarity (≥ 0.60) entre nodos N.E.X.O. para generar hipótesis cruzadas entre dominios.</w:t>
            </w:r>
          </w:p>
          <w:p>
            <w:pPr>
              <w:spacing w:after="40" w:before="0" w:line="276"/>
              <w:jc w:val="left"/>
            </w:pPr>
            <w:r>
              <w:rPr>
                <w:rFonts w:ascii="Arial" w:cs="Arial" w:eastAsia="Arial" w:hAnsi="Arial"/>
                <w:b/>
                <w:bCs/>
                <w:i w:val="false"/>
                <w:iCs w:val="false"/>
                <w:color w:val="1E3A5F"/>
                <w:sz w:val="18"/>
                <w:szCs w:val="18"/>
              </w:rPr>
              <w:t xml:space="preserve">¿Cómo beneficia esto a PROMETEO?</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Si un cliente TEC Bii tiene un proyecto con alto riesgo financiero, SOFIAA puede detectar que escalar presupuesto de paid media es contraindicado en ese momento</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Si un Brief Score de TEC Bii detecta sobrecarga de equipo, el Director Autónomo puede priorizar estrategias orgánicas que no requieran producción adicional</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Los datos de performance de PROMETEO pueden alimentar el ROI Analysis de TEC Bii para calcular el retorno real de las inversiones en marketing</w:t>
            </w:r>
          </w:p>
        </w:tc>
      </w:tr>
    </w:tbl>
    <w:p>
      <w:pPr>
        <w:spacing w:after="0" w:before="120"/>
      </w:pPr>
    </w:p>
    <w:p>
      <w:pPr>
        <w:pStyle w:val="Heading2"/>
        <w:spacing w:after="160" w:before="360"/>
      </w:pPr>
      <w:r>
        <w:rPr>
          <w:rFonts w:ascii="Arial" w:cs="Arial" w:eastAsia="Arial" w:hAnsi="Arial"/>
          <w:b/>
          <w:bCs/>
          <w:i w:val="false"/>
          <w:iCs w:val="false"/>
          <w:color w:val="1E3A5F"/>
          <w:sz w:val="26"/>
          <w:szCs w:val="26"/>
        </w:rPr>
        <w:t xml:space="preserve">5.5 Memory Timeline y Cognitive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EF08A" w:sz="4"/>
              <w:left w:val="single" w:color="FEF08A" w:sz="8"/>
              <w:bottom w:val="single" w:color="FEF08A" w:sz="4"/>
              <w:right w:val="single" w:color="FEF08A" w:sz="4"/>
            </w:tcBorders>
            <w:shd w:fill="FEFCE8" w:val="clear"/>
            <w:tcMar>
              <w:top w:type="dxa" w:w="180"/>
              <w:left w:type="dxa" w:w="240"/>
              <w:bottom w:type="dxa" w:w="180"/>
              <w:right w:type="dxa" w:w="240"/>
            </w:tcMar>
          </w:tcPr>
          <w:p>
            <w:pPr>
              <w:spacing w:after="80" w:before="0" w:line="276"/>
              <w:jc w:val="left"/>
            </w:pPr>
            <w:r>
              <w:rPr>
                <w:rFonts w:ascii="Arial" w:cs="Arial" w:eastAsia="Arial" w:hAnsi="Arial"/>
                <w:b w:val="false"/>
                <w:bCs w:val="false"/>
                <w:i w:val="false"/>
                <w:iCs w:val="false"/>
                <w:color w:val="374151"/>
                <w:sz w:val="20"/>
                <w:szCs w:val="20"/>
              </w:rPr>
              <w:t xml:space="preserve">SOFIAA OS mantiene una Memory Timeline y un Cognitive Profile por usuario. Para PROMETEO, esto significa que el sistema adapta su comunicación al perfil cognitivo del CMO o director de marketing que lo usa:</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preferredDepth: si el usuario prefiere respuestas técnicas o ejecutivas, PROMETEO ajusta el nivel de detalle de sus recomendaciones</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topicAffinity: el sistema sabe qué métricas prefiere ver primero (ROAS vs. CTR vs. alcance)</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formalityScore: el tono de los briefs del Director Autónomo se ajusta al estilo comunicacional del usuario</w:t>
            </w:r>
          </w:p>
          <w:p>
            <w:pPr>
              <w:spacing w:after="60" w:before="60"/>
              <w:ind w:left="431" w:hanging="288"/>
            </w:pPr>
            <w:r>
              <w:rPr>
                <w:rFonts w:ascii="Arial" w:cs="Arial" w:eastAsia="Arial" w:hAnsi="Arial"/>
                <w:b/>
                <w:bCs/>
                <w:i w:val="false"/>
                <w:iCs w:val="false"/>
                <w:color w:val="EAB308"/>
                <w:sz w:val="20"/>
                <w:szCs w:val="20"/>
              </w:rPr>
              <w:t xml:space="preserve">• </w:t>
            </w:r>
            <w:r>
              <w:rPr>
                <w:rFonts w:ascii="Arial" w:cs="Arial" w:eastAsia="Arial" w:hAnsi="Arial"/>
                <w:b w:val="false"/>
                <w:bCs w:val="false"/>
                <w:i w:val="false"/>
                <w:iCs w:val="false"/>
                <w:color w:val="374151"/>
                <w:sz w:val="20"/>
                <w:szCs w:val="20"/>
              </w:rPr>
              <w:t xml:space="preserve">Memory Timeline: conversaciones anteriores sobre campañas de un cliente informan las próximas recomendaciones — sin necesidad de repetir contexto</w:t>
            </w:r>
          </w:p>
        </w:tc>
      </w:tr>
    </w:tbl>
    <w:p>
      <w:pPr>
        <w:spacing w:after="0" w:before="300"/>
      </w:pPr>
    </w:p>
    <w:p>
      <w:r>
        <w:br w:type="page"/>
      </w:r>
    </w:p>
    <w:p>
      <w:pPr>
        <w:pStyle w:val="Heading1"/>
        <w:spacing w:after="160" w:before="360"/>
      </w:pPr>
      <w:r>
        <w:rPr>
          <w:rFonts w:ascii="Arial" w:cs="Arial" w:eastAsia="Arial" w:hAnsi="Arial"/>
          <w:b/>
          <w:bCs/>
          <w:i w:val="false"/>
          <w:iCs w:val="false"/>
          <w:color w:val="374151"/>
          <w:sz w:val="34"/>
          <w:szCs w:val="34"/>
        </w:rPr>
        <w:t xml:space="preserve">6. Diferenciadores — PROMETEO vs. 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80"/>
        <w:gridCol w:w="328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Capacidad</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Plataformas tradicionales</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PROMETEO sobre SOFIAA OS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Punto de partida</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Template de campaña → Audiencia → Presupuesto</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Objetivo de negocio → Árbol de decisión → Estrategia → Campaña</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Brand consistency</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Manual (brand book en PDF que nadie lee)</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Brand DNA estructurado como dato. SOFIAA lo consulta automáticamente antes de generar copy.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Performance memory</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Dashboards históricos sin conexión a creativos nuevos</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Creative Memory alimenta scoring predictivo en tiempo real para cada nueva variante.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IA generativa</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Prompts genéricos. Sin contexto del cliente.</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Groq con contexto: Brand DNA + objetivos activos + performance histórico + perfil cognitivo del usuario.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Detección de fatiga</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Alerts manuales cuando el ROAS ya cayó</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detectarFatiga() proactivo: detecta objetivos en riesgo antes del vencimiento y genera alerta automática.</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Integración financiera</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Silos separados (CRM, finanzas, marketing)</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Cross-domain con TEC Bii: marketing no puede escalar inversión si el cliente tiene flujo comprometido.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Memoria persistente</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Se pierde entre sesiones. El LLM empieza de cero.</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N.E.X.O. persiste. Brand DNA, objetivos, creativos — el sistema recuerda indefinidamente.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Interfaz conversacional</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Chat genérico sin acceso a datos de marketing</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6 extension tools: el chat de SOFIAA consulta PROMETEO en lenguaje natural con datos reales.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Multicliente</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Cambiar de cuenta requiere logout/login</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Workspaces Firestore: múltiples clientes con datos aislados, seleccionables desde el mismo dashboard.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Costo por uso</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Suscripciones de $200-$2,000 USD/mes por herramienta</w:t>
            </w:r>
          </w:p>
        </w:tc>
        <w:tc>
          <w:tcPr>
            <w:tcW w:type="dxa" w:w="328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Incluido en SOFIAA OS. Groq API: fracción de centavo por generación. Sin overhead de plataforma.</w:t>
            </w:r>
          </w:p>
        </w:tc>
      </w:tr>
    </w:tbl>
    <w:p>
      <w:pPr>
        <w:spacing w:after="0" w:before="300"/>
      </w:pPr>
    </w:p>
    <w:p>
      <w:r>
        <w:br w:type="page"/>
      </w:r>
    </w:p>
    <w:p>
      <w:pPr>
        <w:pStyle w:val="Heading1"/>
        <w:spacing w:after="160" w:before="360"/>
      </w:pPr>
      <w:r>
        <w:rPr>
          <w:rFonts w:ascii="Arial" w:cs="Arial" w:eastAsia="Arial" w:hAnsi="Arial"/>
          <w:b/>
          <w:bCs/>
          <w:i w:val="false"/>
          <w:iCs w:val="false"/>
          <w:color w:val="374151"/>
          <w:sz w:val="34"/>
          <w:szCs w:val="34"/>
        </w:rPr>
        <w:t xml:space="preserve">7. Casos de Uso — PROMETEO en Acción</w:t>
      </w:r>
    </w:p>
    <w:p>
      <w:pPr>
        <w:pStyle w:val="Heading2"/>
        <w:spacing w:after="160" w:before="360"/>
      </w:pPr>
      <w:r>
        <w:rPr>
          <w:rFonts w:ascii="Arial" w:cs="Arial" w:eastAsia="Arial" w:hAnsi="Arial"/>
          <w:b/>
          <w:bCs/>
          <w:i w:val="false"/>
          <w:iCs w:val="false"/>
          <w:color w:val="1E3A5F"/>
          <w:sz w:val="26"/>
          <w:szCs w:val="26"/>
        </w:rPr>
        <w:t xml:space="preserve">7.1 Agencia de marketing digital con 8 clientes activos</w:t>
      </w:r>
    </w:p>
    <w:p>
      <w:pPr>
        <w:spacing w:after="80" w:before="0" w:line="276"/>
        <w:jc w:val="left"/>
      </w:pPr>
      <w:r>
        <w:rPr>
          <w:rFonts w:ascii="Arial" w:cs="Arial" w:eastAsia="Arial" w:hAnsi="Arial"/>
          <w:b w:val="false"/>
          <w:bCs w:val="false"/>
          <w:i w:val="false"/>
          <w:iCs w:val="false"/>
          <w:color w:val="374151"/>
          <w:sz w:val="20"/>
          <w:szCs w:val="20"/>
        </w:rPr>
        <w:t xml:space="preserve">Escenario: una agencia maneja múltiples clientes con diferentes objetivos, presupuestos y calendarios de campañas. El equipo pierde horas cada semana consolidando reportes y decidiendo qué hacer primero.</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09:00 AM: el Director Autónomo genera el brief matutino → 3 clientes con objetivos en riesgo de fatiga, 2 oportunidades detectadas en canales subexplotados</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09:15 AM: el equipo consulta a SOFIAA: "¿qué creativos funcionaron mejor en Meta para el cliente X el trimestre pasado?" → Creative Memory responde con top 5 creativos y sus ROAS</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09:30 AM: Creative Lab genera 6 variantes para la campaña urgente → scoring predictivo muestra cuál tiene mayor probabilidad de superar el ROAS histórico</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10:00 AM: el equipo tiene un plan de acción priorizado, los creativos aprobados y el brief listo. Sin una sola reunión de status.</w:t>
      </w:r>
    </w:p>
    <w:p>
      <w:pPr>
        <w:spacing w:after="0" w:before="120"/>
      </w:pPr>
    </w:p>
    <w:p>
      <w:pPr>
        <w:pStyle w:val="Heading2"/>
        <w:spacing w:after="160" w:before="360"/>
      </w:pPr>
      <w:r>
        <w:rPr>
          <w:rFonts w:ascii="Arial" w:cs="Arial" w:eastAsia="Arial" w:hAnsi="Arial"/>
          <w:b/>
          <w:bCs/>
          <w:i w:val="false"/>
          <w:iCs w:val="false"/>
          <w:color w:val="1E3A5F"/>
          <w:sz w:val="26"/>
          <w:szCs w:val="26"/>
        </w:rPr>
        <w:t xml:space="preserve">7.2 Director de marketing de empresa B2B</w:t>
      </w:r>
    </w:p>
    <w:p>
      <w:pPr>
        <w:spacing w:after="80" w:before="0" w:line="276"/>
        <w:jc w:val="left"/>
      </w:pPr>
      <w:r>
        <w:rPr>
          <w:rFonts w:ascii="Arial" w:cs="Arial" w:eastAsia="Arial" w:hAnsi="Arial"/>
          <w:b w:val="false"/>
          <w:bCs w:val="false"/>
          <w:i w:val="false"/>
          <w:iCs w:val="false"/>
          <w:color w:val="374151"/>
          <w:sz w:val="20"/>
          <w:szCs w:val="20"/>
        </w:rPr>
        <w:t xml:space="preserve">Escenario: un director de marketing quiere lanzar una campaña de generación de leads para Q3, pero tiene restricciones de presupuesto y equipo.</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Abre PROMETEO Goal Engine → ingresa objetivo: 200 leads calificados en 90 días con presupuesto $50,000 MXN en pauta</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El árbol de decisión valida: presupuesto ✓, capacidad de ventas para atender 200 leads ✓, canal recomendado → LinkedIn (CPA histórico más bajo para B2B según Creative Memory)</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Brand DNA asegura que todos los creativos respeten el tono técnico-institucional de la marca y excluyan el lenguaje informal que está en tabús</w:t>
      </w:r>
    </w:p>
    <w:p>
      <w:pPr>
        <w:spacing w:after="60" w:before="60"/>
        <w:ind w:left="431" w:hanging="288"/>
      </w:pPr>
      <w:r>
        <w:rPr>
          <w:rFonts w:ascii="Arial" w:cs="Arial" w:eastAsia="Arial" w:hAnsi="Arial"/>
          <w:b/>
          <w:bCs/>
          <w:i w:val="false"/>
          <w:iCs w:val="false"/>
          <w:color w:val="14B8A6"/>
          <w:sz w:val="20"/>
          <w:szCs w:val="20"/>
        </w:rPr>
        <w:t xml:space="preserve">• </w:t>
      </w:r>
      <w:r>
        <w:rPr>
          <w:rFonts w:ascii="Arial" w:cs="Arial" w:eastAsia="Arial" w:hAnsi="Arial"/>
          <w:b w:val="false"/>
          <w:bCs w:val="false"/>
          <w:i w:val="false"/>
          <w:iCs w:val="false"/>
          <w:color w:val="374151"/>
          <w:sz w:val="20"/>
          <w:szCs w:val="20"/>
        </w:rPr>
        <w:t xml:space="preserve">Creative Lab genera variantes específicas para LinkedIn: hooks de SOCIAL_PROOF y CIFRA_IMPACTANTE con el mayor score predictivo para audiencias B2B</w:t>
      </w:r>
    </w:p>
    <w:p>
      <w:pPr>
        <w:spacing w:after="0" w:before="120"/>
      </w:pPr>
    </w:p>
    <w:p>
      <w:pPr>
        <w:pStyle w:val="Heading2"/>
        <w:spacing w:after="160" w:before="360"/>
      </w:pPr>
      <w:r>
        <w:rPr>
          <w:rFonts w:ascii="Arial" w:cs="Arial" w:eastAsia="Arial" w:hAnsi="Arial"/>
          <w:b/>
          <w:bCs/>
          <w:i w:val="false"/>
          <w:iCs w:val="false"/>
          <w:color w:val="1E3A5F"/>
          <w:sz w:val="26"/>
          <w:szCs w:val="26"/>
        </w:rPr>
        <w:t xml:space="preserve">7.3 Freelance CMO con 15 clientes en cartera</w:t>
      </w:r>
    </w:p>
    <w:p>
      <w:pPr>
        <w:spacing w:after="80" w:before="0" w:line="276"/>
        <w:jc w:val="left"/>
      </w:pPr>
      <w:r>
        <w:rPr>
          <w:rFonts w:ascii="Arial" w:cs="Arial" w:eastAsia="Arial" w:hAnsi="Arial"/>
          <w:b w:val="false"/>
          <w:bCs w:val="false"/>
          <w:i w:val="false"/>
          <w:iCs w:val="false"/>
          <w:color w:val="374151"/>
          <w:sz w:val="20"/>
          <w:szCs w:val="20"/>
        </w:rPr>
        <w:t xml:space="preserve">Escenario: un consultor independiente no puede recordar el contexto específico de cada cliente cada vez que tiene una sesión de trabajo. El contexto se pierde entre reuniones.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Cada cliente tiene su Brand DNA registrado en PROMETEO → SOFIAA lo recuerda permanentemente via N.E.X.O.</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"Dame un copy para Instagram del cliente Tecnova" → SOFIAA consulta Brand DNA de Tecnova automáticamente → genera copy respetando su arquetipo (El Experto), tono técnico y tabús de lenguaje informal</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Creative Memory de cada cliente es independiente → el sistema aprende qué funciona para cada industria sin mezclar datos</w:t>
      </w:r>
    </w:p>
    <w:p>
      <w:pPr>
        <w:spacing w:after="60" w:before="60"/>
        <w:ind w:left="431" w:hanging="288"/>
      </w:pPr>
      <w:r>
        <w:rPr>
          <w:rFonts w:ascii="Arial" w:cs="Arial" w:eastAsia="Arial" w:hAnsi="Arial"/>
          <w:b/>
          <w:bCs/>
          <w:i w:val="false"/>
          <w:iCs w:val="false"/>
          <w:color w:val="A855F7"/>
          <w:sz w:val="20"/>
          <w:szCs w:val="20"/>
        </w:rPr>
        <w:t xml:space="preserve">• </w:t>
      </w:r>
      <w:r>
        <w:rPr>
          <w:rFonts w:ascii="Arial" w:cs="Arial" w:eastAsia="Arial" w:hAnsi="Arial"/>
          <w:b w:val="false"/>
          <w:bCs w:val="false"/>
          <w:i w:val="false"/>
          <w:iCs w:val="false"/>
          <w:color w:val="374151"/>
          <w:sz w:val="20"/>
          <w:szCs w:val="20"/>
        </w:rPr>
        <w:t xml:space="preserve">Director Autónomo prioriza qué cliente necesita atención urgente → el consultor empieza el día sabiendo exactamente dónde poner su energía</w:t>
      </w:r>
    </w:p>
    <w:p>
      <w:pPr>
        <w:spacing w:after="0" w:before="300"/>
      </w:pPr>
    </w:p>
    <w:p>
      <w:pPr>
        <w:pStyle w:val="Heading1"/>
        <w:spacing w:after="160" w:before="360"/>
      </w:pPr>
      <w:r>
        <w:rPr>
          <w:rFonts w:ascii="Arial" w:cs="Arial" w:eastAsia="Arial" w:hAnsi="Arial"/>
          <w:b/>
          <w:bCs/>
          <w:i w:val="false"/>
          <w:iCs w:val="false"/>
          <w:color w:val="374151"/>
          <w:sz w:val="34"/>
          <w:szCs w:val="34"/>
        </w:rPr>
        <w:t xml:space="preserve">8. Roadmap PROMETEO — Próximas Capacidades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53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Prioridad</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Capacidad</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top"/>
          </w:tcPr>
          <w:p>
            <w:pPr>
              <w:spacing w:after="60" w:before="60" w:line="276"/>
              <w:jc w:val="left"/>
            </w:pPr>
            <w:r>
              <w:rPr>
                <w:rFonts w:ascii="Arial" w:cs="Arial" w:eastAsia="Arial" w:hAnsi="Arial"/>
                <w:b/>
                <w:bCs/>
                <w:i w:val="false"/>
                <w:iCs w:val="false"/>
                <w:color w:val="FFFFFF"/>
                <w:sz w:val="18"/>
                <w:szCs w:val="18"/>
              </w:rPr>
              <w:t xml:space="preserve">Descripción</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ALTA</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Marketing Sofia → N.E.X.O.</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Conectar los datos operativos de Marketing Sofia (clientes, métricas, finanzas) al grafo N.E.X.O. — mismo patrón que TEC Bii. Los KPIs de campañas alimentarán la Creative Memory automáticamente.</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ALTA</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Auto-registro Creative Memory</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Pipeline automático: cuando una campaña cierra en Marketing Sofia con métricas finales, PROMETEO registra automáticamente el creativo en Creative Memory con su performance real.</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MEDIA</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PROMETEO CRON diario</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Similar al M-7 de TEC Bii: CRON diario a las 08:00 UTC que genera el Director Brief automáticamente para todos los workspaces activos y lo notifica via webhook o email.</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MEDIA</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Atena × PROMETEO — ROI cruzado</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Integración con ATENA para calcular Monte Carlo de campañas: probabilidad de alcanzar el ROAS objetivo según la distribución histórica de Creative Memory.</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BAJA</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Generación de imágenes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Integrar un modelo de generación de imágenes para que el Creative Lab produzca no solo el copy sino también el visual propuesto para cada variante.</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BAJA</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Briefing autónomo de contenido</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vAlign w:val="top"/>
          </w:tcPr>
          <w:p>
            <w:pPr>
              <w:spacing w:after="60" w:before="60" w:line="276"/>
              <w:jc w:val="left"/>
            </w:pPr>
            <w:r>
              <w:rPr>
                <w:rFonts w:ascii="Arial" w:cs="Arial" w:eastAsia="Arial" w:hAnsi="Arial"/>
                <w:b w:val="false"/>
                <w:bCs w:val="false"/>
                <w:i w:val="false"/>
                <w:iCs w:val="false"/>
                <w:color w:val="374151"/>
                <w:sz w:val="18"/>
                <w:szCs w:val="18"/>
              </w:rPr>
              <w:t xml:space="preserve">El Director Autónomo genera el calendario de contenido del mes completo basado en objetivos activos, fechas clave y performance histórico — listo para aprobar sin edición.</w:t>
            </w:r>
          </w:p>
        </w:tc>
      </w:tr>
    </w:tbl>
    <w:p>
      <w:pPr>
        <w:spacing w:after="0" w:before="300"/>
      </w:pPr>
    </w:p>
    <w:p>
      <w:pPr>
        <w:pStyle w:val="Heading1"/>
        <w:spacing w:after="160" w:before="360"/>
      </w:pPr>
      <w:r>
        <w:rPr>
          <w:rFonts w:ascii="Arial" w:cs="Arial" w:eastAsia="Arial" w:hAnsi="Arial"/>
          <w:b/>
          <w:bCs/>
          <w:i w:val="false"/>
          <w:iCs w:val="false"/>
          <w:color w:val="374151"/>
          <w:sz w:val="34"/>
          <w:szCs w:val="34"/>
        </w:rPr>
        <w:t xml:space="preserve">9.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97316" w:sz="4"/>
              <w:left w:val="single" w:color="F97316" w:sz="8"/>
              <w:bottom w:val="single" w:color="F97316" w:sz="4"/>
              <w:right w:val="single" w:color="F97316" w:sz="4"/>
            </w:tcBorders>
            <w:shd w:fill="FFF7ED" w:val="clear"/>
            <w:tcMar>
              <w:top w:type="dxa" w:w="180"/>
              <w:left w:type="dxa" w:w="240"/>
              <w:bottom w:type="dxa" w:w="180"/>
              <w:right w:type="dxa" w:w="240"/>
            </w:tcMar>
          </w:tcPr>
          <w:p>
            <w:pPr>
              <w:spacing w:after="80" w:before="0" w:line="276"/>
              <w:jc w:val="left"/>
            </w:pPr>
            <w:r>
              <w:rPr>
                <w:rFonts w:ascii="Arial" w:cs="Arial" w:eastAsia="Arial" w:hAnsi="Arial"/>
                <w:b/>
                <w:bCs/>
                <w:i w:val="false"/>
                <w:iCs w:val="false"/>
                <w:color w:val="F97316"/>
                <w:sz w:val="24"/>
                <w:szCs w:val="24"/>
              </w:rPr>
              <w:t xml:space="preserve">PROMETEO no es una herramienta de marketing más.</w:t>
            </w:r>
          </w:p>
          <w:p>
            <w:pPr>
              <w:spacing w:after="80" w:before="0" w:line="276"/>
              <w:jc w:val="left"/>
            </w:pPr>
            <w:r>
              <w:rPr>
                <w:rFonts w:ascii="Arial" w:cs="Arial" w:eastAsia="Arial" w:hAnsi="Arial"/>
                <w:b w:val="false"/>
                <w:bCs w:val="false"/>
                <w:i w:val="false"/>
                <w:iCs w:val="false"/>
                <w:color w:val="374151"/>
                <w:sz w:val="20"/>
                <w:szCs w:val="20"/>
              </w:rPr>
              <w:t xml:space="preserve">Es la primera extensión de SOFIAA OS que introduce razonamiento estratégico de growth: un sistema que valida el contexto de negocio, aprende de los datos históricos de performance y genera acción priorizada por urgencia — todo en el ecosistema cognitivo más completo construido sobre IA.</w:t>
            </w:r>
          </w:p>
          <w:p>
            <w:pPr>
              <w:spacing w:after="60" w:before="0" w:line="276"/>
              <w:jc w:val="left"/>
            </w:pPr>
            <w:r>
              <w:rPr>
                <w:rFonts w:ascii="Arial" w:cs="Arial" w:eastAsia="Arial" w:hAnsi="Arial"/>
                <w:b/>
                <w:bCs/>
                <w:i w:val="false"/>
                <w:iCs w:val="false"/>
                <w:color w:val="1E3A5F"/>
                <w:sz w:val="20"/>
                <w:szCs w:val="20"/>
              </w:rPr>
              <w:t xml:space="preserve">Su poder no viene solo de sus módulos. Viene de correr sobre SOFIAA OS:</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La memoria de N.E.X.O. hace que el Brand DNA nunca se olvide.</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El LLM Orchestrator garantiza respuestas con contexto real, no hallucinations.</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El cross-domain con TEC Bii conecta marketing con finanzas institucionales.</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Los 6 extension tools ponen todo esto en el chat conversacional, accesible en lenguaje natural.</w:t>
            </w:r>
          </w:p>
          <w:p>
            <w:pPr>
              <w:spacing w:after="60" w:before="60"/>
              <w:ind w:left="431" w:hanging="288"/>
            </w:pPr>
            <w:r>
              <w:rPr>
                <w:rFonts w:ascii="Arial" w:cs="Arial" w:eastAsia="Arial" w:hAnsi="Arial"/>
                <w:b/>
                <w:bCs/>
                <w:i w:val="false"/>
                <w:iCs w:val="false"/>
                <w:color w:val="F97316"/>
                <w:sz w:val="20"/>
                <w:szCs w:val="20"/>
              </w:rPr>
              <w:t xml:space="preserve">• </w:t>
            </w:r>
            <w:r>
              <w:rPr>
                <w:rFonts w:ascii="Arial" w:cs="Arial" w:eastAsia="Arial" w:hAnsi="Arial"/>
                <w:b w:val="false"/>
                <w:bCs w:val="false"/>
                <w:i w:val="false"/>
                <w:iCs w:val="false"/>
                <w:color w:val="374151"/>
                <w:sz w:val="20"/>
                <w:szCs w:val="20"/>
              </w:rPr>
              <w:t xml:space="preserve">El Cognitive Profile adapta cada interacción al perfil del usuario que lo opera.</w:t>
            </w:r>
          </w:p>
          <w:p>
            <w:pPr>
              <w:spacing w:after="0" w:before="80"/>
            </w:pPr>
          </w:p>
          <w:p>
            <w:pPr>
              <w:spacing w:after="0" w:before="0" w:line="276"/>
              <w:jc w:val="left"/>
            </w:pPr>
            <w:r>
              <w:rPr>
                <w:rFonts w:ascii="Arial" w:cs="Arial" w:eastAsia="Arial" w:hAnsi="Arial"/>
                <w:b/>
                <w:bCs/>
                <w:i/>
                <w:iCs/>
                <w:color w:val="F97316"/>
                <w:sz w:val="20"/>
                <w:szCs w:val="20"/>
              </w:rPr>
              <w:t xml:space="preserve">PROMETEO convierte la promesa de "IA para marketing" en algo real: un sistema que piensa antes de actuar, que aprende de lo que funcionó, y que pone al objetivo de negocio — no al creativo — en el centro de cada decisión.</w:t>
            </w:r>
          </w:p>
        </w:tc>
      </w:tr>
    </w:tbl>
    <w:p>
      <w:pPr>
        <w:spacing w:after="0" w:before="160"/>
      </w:pPr>
    </w:p>
    <w:p>
      <w:pPr>
        <w:spacing w:after="0" w:before="0" w:line="276"/>
        <w:jc w:val="center"/>
      </w:pPr>
      <w:r>
        <w:rPr>
          <w:rFonts w:ascii="Arial" w:cs="Arial" w:eastAsia="Arial" w:hAnsi="Arial"/>
          <w:b w:val="false"/>
          <w:bCs w:val="false"/>
          <w:i w:val="false"/>
          <w:iCs w:val="false"/>
          <w:color w:val="6B7280"/>
          <w:sz w:val="16"/>
          <w:szCs w:val="16"/>
        </w:rPr>
        <w:t xml:space="preserve">SOFIAA OS  ·  PROMETEO v2.0  ·  Julio 2026  ·  Confidencial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left"/>
    </w:pPr>
    <w:r>
      <w:rPr>
        <w:rFonts w:ascii="Arial" w:cs="Arial" w:eastAsia="Arial" w:hAnsi="Arial"/>
        <w:b w:val="false"/>
        <w:bCs w:val="false"/>
        <w:i w:val="false"/>
        <w:iCs w:val="false"/>
        <w:color w:val="6B7280"/>
        <w:sz w:val="16"/>
        <w:szCs w:val="16"/>
      </w:rPr>
      <w:t xml:space="preserve">SOFIAA OS  |  PROMETEO v2.0  |  Julio 2026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left"/>
    </w:pPr>
    <w:r>
      <w:rPr>
        <w:rFonts w:ascii="Arial" w:cs="Arial" w:eastAsia="Arial" w:hAnsi="Arial"/>
        <w:b w:val="false"/>
        <w:bCs w:val="false"/>
        <w:i w:val="false"/>
        <w:iCs w:val="false"/>
        <w:color w:val="6B7280"/>
        <w:sz w:val="16"/>
        <w:szCs w:val="16"/>
      </w:rPr>
      <w:t xml:space="preserve">PROMETEO — Growth Intelligence Engine v2.0  </w:t>
    </w:r>
    <w:r>
      <w:rPr>
        <w:rFonts w:ascii="Arial" w:cs="Arial" w:eastAsia="Arial" w:hAnsi="Arial"/>
        <w:b w:val="false"/>
        <w:bCs w:val="false"/>
        <w:i w:val="false"/>
        <w:iCs w:val="false"/>
        <w:color w:val="6B7280"/>
        <w:sz w:val="16"/>
        <w:szCs w:val="16"/>
      </w:rPr>
      <w:t xml:space="preserve">| Documento Técnico Especializado  </w:t>
    </w:r>
    <w:r>
      <w:rPr>
        <w:rFonts w:ascii="Arial" w:cs="Arial" w:eastAsia="Arial" w:hAnsi="Arial"/>
        <w:b/>
        <w:bCs/>
        <w:i w:val="false"/>
        <w:iCs w:val="false"/>
        <w:color w:val="F97316"/>
        <w:sz w:val="16"/>
        <w:szCs w:val="16"/>
      </w:rPr>
      <w:t xml:space="preserve">| SOFIAA OS  </w:t>
    </w:r>
    <w:r>
      <w:rPr>
        <w:rFonts w:ascii="Arial" w:cs="Arial" w:eastAsia="Arial" w:hAnsi="Arial"/>
        <w:b w:val="false"/>
        <w:bCs w:val="false"/>
        <w:i w:val="false"/>
        <w:iCs w:val="false"/>
        <w:color w:val="6B7280"/>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2026-07-21T19:27:46.696Z</dcterms:created>
  <dcterms:modified xsi:type="dcterms:W3CDTF">2026-07-21T19:27:46.696Z</dcterms:modified>
</cp:coreProperties>
</file>

<file path=docProps/custom.xml><?xml version="1.0" encoding="utf-8"?>
<Properties xmlns="http://schemas.openxmlformats.org/officeDocument/2006/custom-properties" xmlns:vt="http://schemas.openxmlformats.org/officeDocument/2006/docPropsVTypes"/>
</file>